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940"/>
      </w:pPr>
      <w:r>
        <w:t xml:space="preserve">Dossier de candidature - Projet </w:t>
      </w:r>
      <w:r>
        <w:t xml:space="preserve">Prématuration</w:t>
      </w:r>
      <w:r>
        <w:t xml:space="preserve"> 2023</w:t>
      </w:r>
      <w:r/>
    </w:p>
    <w:p>
      <w:pPr>
        <w:pStyle w:val="753"/>
        <w:numPr>
          <w:ilvl w:val="0"/>
          <w:numId w:val="0"/>
        </w:numPr>
        <w:ind w:left="360"/>
      </w:pPr>
      <w:r>
        <w:t xml:space="preserve">Préambule</w:t>
      </w:r>
      <w:r/>
    </w:p>
    <w:p>
      <w:pPr>
        <w:jc w:val="both"/>
      </w:pPr>
      <w:r>
        <w:t xml:space="preserve">En </w:t>
      </w:r>
      <w:r>
        <w:rPr>
          <w:b/>
        </w:rPr>
        <w:t xml:space="preserve">sortie de</w:t>
      </w:r>
      <w:r>
        <w:t xml:space="preserve"> </w:t>
      </w:r>
      <w:r>
        <w:rPr>
          <w:b/>
        </w:rPr>
        <w:t xml:space="preserve">prématuration</w:t>
      </w:r>
      <w:r>
        <w:t xml:space="preserve">, on attend une preuve de concept (</w:t>
      </w:r>
      <w:r>
        <w:t xml:space="preserve">PoC</w:t>
      </w:r>
      <w:r>
        <w:t xml:space="preserve">), une ébauche de modèle économique (cas d’usage et applications envisagées),</w:t>
      </w:r>
      <w:r>
        <w:t xml:space="preserve"> </w:t>
      </w:r>
      <w:r>
        <w:t xml:space="preserve">une feuille de route technologique sommaire ainsi qu’une ébauche de </w:t>
      </w:r>
      <w:r>
        <w:t xml:space="preserve">la </w:t>
      </w:r>
      <w:r>
        <w:t xml:space="preserve">stratégie de valorisation (description des actifs de </w:t>
      </w:r>
      <w:r>
        <w:t xml:space="preserve">propriété intellectuelle</w:t>
      </w:r>
      <w:r>
        <w:t xml:space="preserve">, protection et transfert envisagés). </w:t>
      </w:r>
      <w:r/>
    </w:p>
    <w:p>
      <w:pPr>
        <w:jc w:val="both"/>
      </w:pPr>
      <w:r>
        <w:t xml:space="preserve">Le financement </w:t>
      </w:r>
      <w:r>
        <w:t xml:space="preserve">Sci-ty</w:t>
      </w:r>
      <w:r>
        <w:t xml:space="preserve"> est de l’ordre de 50k€</w:t>
      </w:r>
      <w:r>
        <w:t xml:space="preserve"> sur une durée maximum estimée de 24 mois</w:t>
      </w:r>
      <w:r>
        <w:t xml:space="preserve">. On cherchera l’ef</w:t>
      </w:r>
      <w:r>
        <w:t xml:space="preserve">fet de levier de </w:t>
      </w:r>
      <w:r>
        <w:t xml:space="preserve">Sci-ty</w:t>
      </w:r>
      <w:r>
        <w:t xml:space="preserve"> : par exemple, une future </w:t>
      </w:r>
      <w:r>
        <w:t xml:space="preserve">co</w:t>
      </w:r>
      <w:r>
        <w:t xml:space="preserve">-maturation avec une entreprise est encouragée. </w:t>
      </w:r>
      <w:r/>
    </w:p>
    <w:p>
      <w:pPr>
        <w:jc w:val="both"/>
      </w:pPr>
      <w:r>
        <w:rPr>
          <w:i/>
          <w:iCs/>
        </w:rPr>
        <w:t xml:space="preserve">Les équipes </w:t>
      </w:r>
      <w:r>
        <w:rPr>
          <w:i/>
          <w:iCs/>
        </w:rPr>
        <w:t xml:space="preserve">Sci-ty</w:t>
      </w:r>
      <w:r>
        <w:rPr>
          <w:i/>
          <w:iCs/>
        </w:rPr>
        <w:t xml:space="preserve"> peuvent accompagner le projet dès sa genèse. Il est donc recommandé de solliciter ces équipes pour la rédaction de ce court dossier</w:t>
      </w:r>
      <w:r>
        <w:t xml:space="preserve">.</w:t>
      </w:r>
      <w:r/>
    </w:p>
    <w:p>
      <w:r>
        <w:t xml:space="preserve">NB </w:t>
      </w:r>
      <w:r>
        <w:t xml:space="preserve">: La grille d’évaluation est communiquée à titre informatif.</w:t>
      </w:r>
      <w:r>
        <w:t xml:space="preserve"> </w:t>
      </w:r>
      <w:r>
        <w:t xml:space="preserve">L’objectif est de formuler un </w:t>
      </w:r>
      <w:r>
        <w:rPr>
          <w:b/>
        </w:rPr>
        <w:t xml:space="preserve">GO/NO GO</w:t>
      </w:r>
      <w:r>
        <w:t xml:space="preserve"> pour le financement du projet</w:t>
      </w:r>
      <w:r>
        <w:t xml:space="preserve">.</w:t>
      </w:r>
      <w:r/>
    </w:p>
    <w:p>
      <w:pPr>
        <w:contextualSpacing/>
        <w:spacing w:before="240" w:after="240" w:line="240" w:lineRule="auto"/>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p>
    <w:tbl>
      <w:tblPr>
        <w:tblStyle w:val="958"/>
        <w:tblW w:w="5000" w:type="pct"/>
        <w:tblLook w:val="04A0" w:firstRow="1" w:lastRow="0" w:firstColumn="1" w:lastColumn="0" w:noHBand="0" w:noVBand="1"/>
      </w:tblPr>
      <w:tblGrid>
        <w:gridCol w:w="2432"/>
        <w:gridCol w:w="7304"/>
      </w:tblGrid>
      <w:tr>
        <w:trPr>
          <w:trHeight w:val="567"/>
        </w:trPr>
        <w:tc>
          <w:tcPr>
            <w:tcW w:w="1249" w:type="pct"/>
            <w:vAlign w:val="center"/>
            <w:textDirection w:val="lrTb"/>
            <w:noWrap w:val="false"/>
          </w:tcPr>
          <w:p>
            <w:pPr>
              <w:contextualSpacing/>
              <w:spacing w:before="240" w:after="240"/>
              <w:rPr>
                <w:rFonts w:ascii="Calibri" w:hAnsi="Calibri"/>
              </w:rPr>
            </w:pPr>
            <w:r>
              <w:rPr>
                <w:rFonts w:ascii="Calibri" w:hAnsi="Calibri"/>
              </w:rPr>
              <w:t xml:space="preserve">Nom de l’évaluateur</w:t>
            </w:r>
            <w:r/>
          </w:p>
        </w:tc>
        <w:tc>
          <w:tcPr>
            <w:tcW w:w="3751" w:type="pct"/>
            <w:vAlign w:val="center"/>
            <w:textDirection w:val="lrTb"/>
            <w:noWrap w:val="false"/>
          </w:tcPr>
          <w:p>
            <w:pPr>
              <w:contextualSpacing/>
              <w:spacing w:before="240" w:after="240"/>
              <w:rPr>
                <w:rFonts w:ascii="Calibri" w:hAnsi="Calibri"/>
              </w:rPr>
            </w:pPr>
            <w:r>
              <w:rPr>
                <w:rFonts w:ascii="Calibri" w:hAnsi="Calibri"/>
              </w:rPr>
            </w:r>
            <w:r/>
          </w:p>
        </w:tc>
      </w:tr>
      <w:tr>
        <w:trPr>
          <w:trHeight w:val="567"/>
        </w:trPr>
        <w:tc>
          <w:tcPr>
            <w:tcBorders>
              <w:bottom w:val="single" w:color="auto" w:sz="4" w:space="0"/>
            </w:tcBorders>
            <w:tcW w:w="1249" w:type="pct"/>
            <w:vAlign w:val="center"/>
            <w:textDirection w:val="lrTb"/>
            <w:noWrap w:val="false"/>
          </w:tcPr>
          <w:p>
            <w:pPr>
              <w:contextualSpacing/>
              <w:spacing w:before="240" w:after="240"/>
              <w:rPr>
                <w:rFonts w:ascii="Calibri" w:hAnsi="Calibri"/>
              </w:rPr>
            </w:pPr>
            <w:r>
              <w:rPr>
                <w:rFonts w:ascii="Calibri" w:hAnsi="Calibri"/>
              </w:rPr>
              <w:t xml:space="preserve">Fonction</w:t>
            </w:r>
            <w:r/>
          </w:p>
        </w:tc>
        <w:tc>
          <w:tcPr>
            <w:tcBorders>
              <w:bottom w:val="single" w:color="auto" w:sz="4" w:space="0"/>
            </w:tcBorders>
            <w:tcW w:w="3751" w:type="pct"/>
            <w:vAlign w:val="center"/>
            <w:textDirection w:val="lrTb"/>
            <w:noWrap w:val="false"/>
          </w:tcPr>
          <w:p>
            <w:pPr>
              <w:contextualSpacing/>
              <w:spacing w:before="240" w:after="240"/>
              <w:rPr>
                <w:rFonts w:ascii="Calibri" w:hAnsi="Calibri"/>
              </w:rPr>
            </w:pPr>
            <w:r>
              <w:rPr>
                <w:rFonts w:ascii="Calibri" w:hAnsi="Calibri"/>
              </w:rPr>
            </w:r>
            <w:r/>
          </w:p>
        </w:tc>
      </w:tr>
      <w:tr>
        <w:trPr>
          <w:trHeight w:val="567"/>
        </w:trPr>
        <w:tc>
          <w:tcPr>
            <w:tcBorders>
              <w:top w:val="single" w:color="auto" w:sz="4" w:space="0"/>
              <w:left w:val="single" w:color="auto" w:sz="4" w:space="0"/>
              <w:bottom w:val="none" w:color="000000" w:sz="4" w:space="0"/>
              <w:right w:val="single" w:color="auto" w:sz="4" w:space="0"/>
            </w:tcBorders>
            <w:tcW w:w="1249" w:type="pct"/>
            <w:vAlign w:val="center"/>
            <w:textDirection w:val="lrTb"/>
            <w:noWrap w:val="false"/>
          </w:tcPr>
          <w:p>
            <w:pPr>
              <w:contextualSpacing/>
              <w:spacing w:before="240" w:after="240"/>
              <w:rPr>
                <w:rFonts w:ascii="Calibri" w:hAnsi="Calibri"/>
              </w:rPr>
            </w:pPr>
            <w:r>
              <w:rPr>
                <w:rFonts w:ascii="Calibri" w:hAnsi="Calibri"/>
              </w:rPr>
              <w:t xml:space="preserve">AVIS</w:t>
            </w:r>
            <w:r/>
          </w:p>
        </w:tc>
        <w:tc>
          <w:tcPr>
            <w:tcBorders>
              <w:top w:val="single" w:color="auto" w:sz="4" w:space="0"/>
              <w:left w:val="single" w:color="auto" w:sz="4" w:space="0"/>
              <w:bottom w:val="none" w:color="000000" w:sz="4" w:space="0"/>
              <w:right w:val="single" w:color="auto" w:sz="4" w:space="0"/>
            </w:tcBorders>
            <w:tcW w:w="3751" w:type="pct"/>
            <w:vAlign w:val="center"/>
            <w:textDirection w:val="lrTb"/>
            <w:noWrap w:val="false"/>
          </w:tcPr>
          <w:p>
            <w:pPr>
              <w:contextualSpacing/>
              <w:jc w:val="center"/>
              <w:spacing w:before="240" w:after="240"/>
              <w:rPr>
                <w:rFonts w:ascii="Calibri" w:hAnsi="Calibri"/>
              </w:rPr>
            </w:pPr>
            <w:r>
              <w:rPr>
                <w:rFonts w:ascii="Calibri" w:hAnsi="Calibri"/>
                <w:b/>
                <w:bCs/>
              </w:rPr>
              <w:t xml:space="preserve">GO</w:t>
            </w:r>
            <w:r>
              <w:rPr>
                <w:rFonts w:ascii="Calibri" w:hAnsi="Calibri"/>
              </w:rPr>
              <w:t xml:space="preserve">   </w:t>
            </w:r>
            <w:sdt>
              <w:sdtPr>
                <w15:appearance w15:val="boundingBox"/>
                <w:id w:val="-878858008"/>
                <w14:checkbox>
                  <w14:checked w14:val="0"/>
                  <w14:checkedState w14:val="2612" w14:font="MS Gothic"/>
                  <w14:uncheckedState w14:val="2610" w14:font="MS Gothic"/>
                </w14:checkbox>
                <w:rPr>
                  <w:rFonts w:ascii="Calibri" w:hAnsi="Calibri"/>
                </w:rPr>
              </w:sdtPr>
              <w:sdtContent>
                <w:r>
                  <w:rPr>
                    <w:rFonts w:ascii="Segoe UI Symbol" w:hAnsi="Segoe UI Symbol" w:cs="Segoe UI Symbol"/>
                  </w:rPr>
                  <w:t xml:space="preserve">☐</w:t>
                </w:r>
              </w:sdtContent>
            </w:sdt>
            <w:r>
              <w:rPr>
                <w:rFonts w:ascii="Calibri" w:hAnsi="Calibri"/>
              </w:rPr>
              <w:t xml:space="preserve">                                                                                  </w:t>
            </w:r>
            <w:r>
              <w:rPr>
                <w:rFonts w:ascii="Calibri" w:hAnsi="Calibri"/>
                <w:b/>
                <w:bCs/>
              </w:rPr>
              <w:t xml:space="preserve">NO GO</w:t>
            </w:r>
            <w:r>
              <w:rPr>
                <w:rFonts w:ascii="Calibri" w:hAnsi="Calibri"/>
              </w:rPr>
              <w:t xml:space="preserve">   </w:t>
            </w:r>
            <w:sdt>
              <w:sdtPr>
                <w15:appearance w15:val="boundingBox"/>
                <w:id w:val="-415867080"/>
                <w14:checkbox>
                  <w14:checked w14:val="0"/>
                  <w14:checkedState w14:val="2612" w14:font="MS Gothic"/>
                  <w14:uncheckedState w14:val="2610" w14:font="MS Gothic"/>
                </w14:checkbox>
                <w:rPr>
                  <w:rFonts w:ascii="Calibri" w:hAnsi="Calibri"/>
                </w:rPr>
              </w:sdtPr>
              <w:sdtContent>
                <w:r>
                  <w:rPr>
                    <w:rFonts w:ascii="Segoe UI Symbol" w:hAnsi="Segoe UI Symbol" w:cs="Segoe UI Symbol"/>
                  </w:rPr>
                  <w:t xml:space="preserve">☐</w:t>
                </w:r>
              </w:sdtContent>
            </w:sdt>
            <w:r/>
            <w:r/>
          </w:p>
        </w:tc>
      </w:tr>
      <w:tr>
        <w:trPr>
          <w:trHeight w:val="567"/>
        </w:trPr>
        <w:tc>
          <w:tcPr>
            <w:tcBorders>
              <w:top w:val="none" w:color="000000" w:sz="4" w:space="0"/>
              <w:left w:val="single" w:color="auto" w:sz="4" w:space="0"/>
              <w:bottom w:val="single" w:color="auto" w:sz="4" w:space="0"/>
              <w:right w:val="single" w:color="auto" w:sz="4" w:space="0"/>
            </w:tcBorders>
            <w:tcW w:w="1249" w:type="pct"/>
            <w:vAlign w:val="center"/>
            <w:textDirection w:val="lrTb"/>
            <w:noWrap w:val="false"/>
          </w:tcPr>
          <w:p>
            <w:pPr>
              <w:contextualSpacing/>
              <w:spacing w:before="240" w:after="240"/>
              <w:rPr>
                <w:rFonts w:ascii="Calibri" w:hAnsi="Calibri"/>
              </w:rPr>
            </w:pPr>
            <w:r>
              <w:rPr>
                <w:rFonts w:ascii="Calibri" w:hAnsi="Calibri"/>
              </w:rPr>
            </w:r>
            <w:r/>
          </w:p>
        </w:tc>
        <w:tc>
          <w:tcPr>
            <w:tcBorders>
              <w:top w:val="none" w:color="000000" w:sz="4" w:space="0"/>
              <w:left w:val="single" w:color="auto" w:sz="4" w:space="0"/>
              <w:bottom w:val="single" w:color="auto" w:sz="4" w:space="0"/>
              <w:right w:val="single" w:color="auto" w:sz="4" w:space="0"/>
            </w:tcBorders>
            <w:tcW w:w="3751" w:type="pct"/>
            <w:vAlign w:val="center"/>
            <w:textDirection w:val="lrTb"/>
            <w:noWrap w:val="false"/>
          </w:tcPr>
          <w:p>
            <w:pPr>
              <w:contextualSpacing/>
              <w:spacing w:before="240" w:after="240"/>
              <w:rPr>
                <w:rFonts w:ascii="Calibri" w:hAnsi="Calibri"/>
              </w:rPr>
            </w:pPr>
            <w:r>
              <w:rPr>
                <w:rFonts w:ascii="Calibri" w:hAnsi="Calibri"/>
              </w:rPr>
            </w:r>
            <w:r/>
          </w:p>
          <w:p>
            <w:pPr>
              <w:contextualSpacing/>
              <w:spacing w:before="240" w:after="240"/>
              <w:rPr>
                <w:rFonts w:ascii="Calibri" w:hAnsi="Calibri"/>
              </w:rPr>
            </w:pPr>
            <w:r>
              <w:rPr>
                <w:rFonts w:ascii="Calibri" w:hAnsi="Calibri"/>
              </w:rPr>
            </w:r>
            <w:r/>
          </w:p>
          <w:p>
            <w:pPr>
              <w:contextualSpacing/>
              <w:spacing w:before="240" w:after="240"/>
              <w:rPr>
                <w:rFonts w:ascii="Calibri" w:hAnsi="Calibri"/>
              </w:rPr>
            </w:pPr>
            <w:r>
              <w:rPr>
                <w:rFonts w:ascii="Calibri" w:hAnsi="Calibri"/>
              </w:rPr>
            </w:r>
            <w:r/>
          </w:p>
        </w:tc>
      </w:tr>
    </w:tbl>
    <w:p>
      <w:pPr>
        <w:contextualSpacing/>
        <w:spacing w:before="240" w:after="240" w:line="240" w:lineRule="auto"/>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p>
    <w:p>
      <w:pPr>
        <w:contextualSpacing/>
        <w:spacing w:before="240" w:after="240" w:line="240" w:lineRule="auto"/>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p>
    <w:tbl>
      <w:tblPr>
        <w:tblW w:w="0" w:type="auto"/>
        <w:tblLayout w:type="fixed"/>
        <w:tblCellMar>
          <w:left w:w="70" w:type="dxa"/>
          <w:right w:w="70" w:type="dxa"/>
        </w:tblCellMar>
        <w:tblLook w:val="04A0" w:firstRow="1" w:lastRow="0" w:firstColumn="1" w:lastColumn="0" w:noHBand="0" w:noVBand="1"/>
      </w:tblPr>
      <w:tblGrid>
        <w:gridCol w:w="8558"/>
        <w:gridCol w:w="709"/>
        <w:gridCol w:w="583"/>
      </w:tblGrid>
      <w:tr>
        <w:trPr>
          <w:trHeight w:val="350"/>
        </w:trPr>
        <w:tc>
          <w:tcPr>
            <w:gridSpan w:val="3"/>
            <w:shd w:val="clear" w:color="auto" w:fill="9cc2e5" w:themeFill="accent1" w:themeFillTint="99"/>
            <w:tcBorders>
              <w:top w:val="single" w:color="auto" w:sz="4" w:space="0"/>
              <w:left w:val="single" w:color="auto" w:sz="4" w:space="0"/>
              <w:bottom w:val="none" w:color="000000" w:sz="4" w:space="0"/>
              <w:right w:val="single" w:color="auto" w:sz="4" w:space="0"/>
            </w:tcBorders>
            <w:tcW w:w="0" w:type="auto"/>
            <w:vAlign w:val="center"/>
            <w:textDirection w:val="lrTb"/>
            <w:noWrap w:val="false"/>
          </w:tcPr>
          <w:p>
            <w:pPr>
              <w:jc w:val="center"/>
              <w:spacing w:after="0" w:line="240" w:lineRule="auto"/>
              <w:rPr>
                <w:rFonts w:ascii="Calibri" w:hAnsi="Calibri" w:eastAsia="Times New Roman" w:cs="Calibri"/>
                <w:b/>
                <w:bCs/>
                <w:color w:val="000000"/>
                <w:sz w:val="28"/>
                <w:szCs w:val="28"/>
                <w:lang w:eastAsia="fr-FR"/>
              </w:rPr>
            </w:pPr>
            <w:r>
              <w:rPr>
                <w:rFonts w:ascii="Calibri" w:hAnsi="Calibri" w:eastAsia="Times New Roman" w:cs="Calibri"/>
                <w:b/>
                <w:bCs/>
                <w:color w:val="000000"/>
                <w:sz w:val="28"/>
                <w:szCs w:val="28"/>
                <w:lang w:eastAsia="fr-FR"/>
              </w:rPr>
              <w:t xml:space="preserve">Critère A - Impact de l’innovation proposée sur les ambitions de développement durable</w:t>
            </w:r>
            <w:r/>
          </w:p>
        </w:tc>
      </w:tr>
      <w:tr>
        <w:trPr>
          <w:trHeight w:val="300"/>
        </w:trPr>
        <w:tc>
          <w:tcPr>
            <w:gridSpan w:val="3"/>
            <w:shd w:val="clear" w:color="auto" w:fill="9cc2e5" w:themeFill="accent1" w:themeFillTint="99"/>
            <w:tcBorders>
              <w:top w:val="none" w:color="000000" w:sz="4" w:space="0"/>
              <w:left w:val="single" w:color="auto" w:sz="4" w:space="0"/>
              <w:bottom w:val="single" w:color="auto" w:sz="4" w:space="0"/>
              <w:right w:val="single" w:color="auto" w:sz="4" w:space="0"/>
            </w:tcBorders>
            <w:tcW w:w="0" w:type="auto"/>
            <w:vAlign w:val="bottom"/>
            <w:textDirection w:val="lrTb"/>
            <w:noWrap/>
          </w:tcPr>
          <w:p>
            <w:pPr>
              <w:jc w:val="center"/>
              <w:spacing w:after="0" w:line="240" w:lineRule="auto"/>
              <w:rPr>
                <w:rFonts w:ascii="Calibri" w:hAnsi="Calibri" w:eastAsia="Times New Roman" w:cs="Calibri"/>
                <w:i/>
                <w:iCs/>
                <w:color w:val="000000"/>
                <w:sz w:val="20"/>
                <w:szCs w:val="20"/>
                <w:lang w:eastAsia="fr-FR"/>
              </w:rPr>
            </w:pPr>
            <w:r>
              <w:rPr>
                <w:rFonts w:ascii="Calibri" w:hAnsi="Calibri" w:eastAsia="Times New Roman" w:cs="Calibri"/>
                <w:i/>
                <w:iCs/>
                <w:color w:val="000000"/>
                <w:sz w:val="20"/>
                <w:szCs w:val="20"/>
                <w:lang w:eastAsia="fr-FR"/>
              </w:rPr>
              <w:t xml:space="preserve">Les référentiels sur les SNA, ODD et taxonomie verte</w:t>
            </w:r>
            <w:r>
              <w:rPr>
                <w:rFonts w:ascii="Calibri" w:hAnsi="Calibri" w:eastAsia="Times New Roman" w:cs="Calibri"/>
                <w:i/>
                <w:iCs/>
                <w:color w:val="000000"/>
                <w:sz w:val="20"/>
                <w:szCs w:val="20"/>
                <w:lang w:eastAsia="fr-FR"/>
              </w:rPr>
              <w:t xml:space="preserve"> européenne </w:t>
            </w:r>
            <w:r>
              <w:rPr>
                <w:rFonts w:ascii="Calibri" w:hAnsi="Calibri" w:eastAsia="Times New Roman" w:cs="Calibri"/>
                <w:i/>
                <w:iCs/>
                <w:color w:val="000000"/>
                <w:sz w:val="20"/>
                <w:szCs w:val="20"/>
                <w:lang w:eastAsia="fr-FR"/>
              </w:rPr>
              <w:t xml:space="preserve">sont en annexe d</w:t>
            </w:r>
            <w:r>
              <w:rPr>
                <w:rFonts w:ascii="Calibri" w:hAnsi="Calibri" w:eastAsia="Times New Roman" w:cs="Calibri"/>
                <w:i/>
                <w:iCs/>
                <w:color w:val="000000"/>
                <w:sz w:val="20"/>
                <w:szCs w:val="20"/>
                <w:lang w:eastAsia="fr-FR"/>
              </w:rPr>
              <w:t xml:space="preserve">e ce </w:t>
            </w:r>
            <w:r>
              <w:rPr>
                <w:rFonts w:ascii="Calibri" w:hAnsi="Calibri" w:eastAsia="Times New Roman" w:cs="Calibri"/>
                <w:i/>
                <w:iCs/>
                <w:color w:val="000000"/>
                <w:sz w:val="20"/>
                <w:szCs w:val="20"/>
                <w:lang w:eastAsia="fr-FR"/>
              </w:rPr>
              <w:t xml:space="preserve">dossier</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tcPr>
          <w:p>
            <w:pPr>
              <w:jc w:val="cente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OUI</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tcPr>
          <w:p>
            <w:pPr>
              <w:jc w:val="cente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NON</w:t>
            </w:r>
            <w:r/>
          </w:p>
        </w:tc>
      </w:tr>
      <w:tr>
        <w:trPr>
          <w:trHeight w:val="290"/>
        </w:trPr>
        <w:tc>
          <w:tcPr>
            <w:shd w:val="clear" w:color="auto" w:fill="auto"/>
            <w:tcBorders>
              <w:top w:val="none" w:color="000000" w:sz="4" w:space="0"/>
              <w:left w:val="single" w:color="auto" w:sz="4" w:space="0"/>
              <w:bottom w:val="none" w:color="000000" w:sz="4" w:space="0"/>
              <w:right w:val="single" w:color="auto" w:sz="4" w:space="0"/>
            </w:tcBorders>
            <w:tcW w:w="0" w:type="auto"/>
            <w:vAlign w:val="center"/>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Est-ce que l'innovation proposée s'inscrit dans la stratégie nationale d'accélération visée ?</w:t>
            </w:r>
            <w:r/>
          </w:p>
        </w:tc>
        <w:tc>
          <w:tcPr>
            <w:shd w:val="clear" w:color="auto" w:fill="auto"/>
            <w:tcBorders>
              <w:top w:val="none" w:color="000000" w:sz="4" w:space="0"/>
              <w:left w:val="none" w:color="000000" w:sz="4" w:space="0"/>
              <w:bottom w:val="none" w:color="000000"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c>
          <w:tcPr>
            <w:shd w:val="clear" w:color="auto" w:fill="auto"/>
            <w:tcBorders>
              <w:top w:val="none" w:color="000000" w:sz="4" w:space="0"/>
              <w:left w:val="none" w:color="000000" w:sz="4" w:space="0"/>
              <w:bottom w:val="none" w:color="000000"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r>
      <w:tr>
        <w:trPr>
          <w:trHeight w:val="300"/>
        </w:trPr>
        <w:tc>
          <w:tcPr>
            <w:shd w:val="clear" w:color="auto" w:fill="auto"/>
            <w:tcBorders>
              <w:top w:val="single" w:color="auto" w:sz="4" w:space="0"/>
              <w:left w:val="single" w:color="auto" w:sz="4" w:space="0"/>
              <w:bottom w:val="single" w:color="auto" w:sz="4" w:space="0"/>
              <w:right w:val="none" w:color="000000" w:sz="4" w:space="0"/>
            </w:tcBorders>
            <w:tcW w:w="0" w:type="auto"/>
            <w:vAlign w:val="center"/>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L’innovation s'inscrit-elle dans les objectifs de développement durable ?</w:t>
            </w:r>
            <w:r/>
          </w:p>
        </w:tc>
        <w:tc>
          <w:tcPr>
            <w:shd w:val="clear" w:color="auto" w:fill="auto"/>
            <w:tcBorders>
              <w:top w:val="single" w:color="auto" w:sz="4" w:space="0"/>
              <w:left w:val="single" w:color="auto"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c>
          <w:tcPr>
            <w:shd w:val="clear" w:color="auto" w:fill="auto"/>
            <w:tcBorders>
              <w:top w:val="single" w:color="auto"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L'innovation s'inscrit-elle dans la taxonomie </w:t>
            </w:r>
            <w:r>
              <w:rPr>
                <w:rFonts w:ascii="Calibri" w:hAnsi="Calibri" w:eastAsia="Times New Roman" w:cs="Calibri"/>
                <w:color w:val="000000"/>
                <w:sz w:val="20"/>
                <w:szCs w:val="20"/>
                <w:lang w:eastAsia="fr-FR"/>
              </w:rPr>
              <w:t xml:space="preserve">verte</w:t>
            </w:r>
            <w:r>
              <w:rPr>
                <w:rFonts w:ascii="Calibri" w:hAnsi="Calibri" w:eastAsia="Times New Roman" w:cs="Calibri"/>
                <w:color w:val="000000"/>
                <w:sz w:val="20"/>
                <w:szCs w:val="20"/>
                <w:lang w:eastAsia="fr-FR"/>
              </w:rPr>
              <w:t xml:space="preserve"> </w:t>
            </w:r>
            <w:r>
              <w:rPr>
                <w:rFonts w:ascii="Calibri" w:hAnsi="Calibri" w:eastAsia="Times New Roman" w:cs="Calibri"/>
                <w:color w:val="000000"/>
                <w:sz w:val="20"/>
                <w:szCs w:val="20"/>
                <w:lang w:eastAsia="fr-FR"/>
              </w:rPr>
              <w:t xml:space="preserve">européenne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r>
      <w:tr>
        <w:trPr>
          <w:trHeight w:val="35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L'impact potentiel de l’innovation est -il </w:t>
            </w:r>
            <w:r>
              <w:rPr>
                <w:rFonts w:ascii="Calibri" w:hAnsi="Calibri" w:eastAsia="Times New Roman" w:cs="Calibri"/>
                <w:color w:val="000000"/>
                <w:sz w:val="20"/>
                <w:szCs w:val="20"/>
                <w:lang w:eastAsia="fr-FR"/>
              </w:rPr>
              <w:t xml:space="preserve">évident</w:t>
            </w:r>
            <w:r>
              <w:rPr>
                <w:rFonts w:ascii="Calibri" w:hAnsi="Calibri" w:eastAsia="Times New Roman" w:cs="Calibri"/>
                <w:color w:val="000000"/>
                <w:sz w:val="20"/>
                <w:szCs w:val="20"/>
                <w:lang w:eastAsia="fr-FR"/>
              </w:rPr>
              <w:t xml:space="preserve"> </w:t>
            </w:r>
            <w:r>
              <w:rPr>
                <w:rFonts w:ascii="Calibri" w:hAnsi="Calibri" w:eastAsia="Times New Roman" w:cs="Calibri"/>
                <w:color w:val="000000"/>
                <w:sz w:val="20"/>
                <w:szCs w:val="20"/>
                <w:lang w:eastAsia="fr-FR"/>
              </w:rPr>
              <w:t xml:space="preserve">?</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r>
    </w:tbl>
    <w:p>
      <w:pPr>
        <w:contextualSpacing/>
        <w:spacing w:before="240" w:after="240" w:line="240" w:lineRule="auto"/>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p>
    <w:p>
      <w:pPr>
        <w:contextualSpacing/>
        <w:spacing w:before="240" w:after="240" w:line="240" w:lineRule="auto"/>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p>
    <w:p>
      <w:pPr>
        <w:contextualSpacing/>
        <w:spacing w:before="240" w:after="240" w:line="240" w:lineRule="auto"/>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p>
    <w:tbl>
      <w:tblPr>
        <w:tblW w:w="0" w:type="auto"/>
        <w:tblLayout w:type="fixed"/>
        <w:tblCellMar>
          <w:left w:w="70" w:type="dxa"/>
          <w:right w:w="70" w:type="dxa"/>
        </w:tblCellMar>
        <w:tblLook w:val="04A0" w:firstRow="1" w:lastRow="0" w:firstColumn="1" w:lastColumn="0" w:noHBand="0" w:noVBand="1"/>
      </w:tblPr>
      <w:tblGrid>
        <w:gridCol w:w="8558"/>
        <w:gridCol w:w="658"/>
        <w:gridCol w:w="531"/>
      </w:tblGrid>
      <w:tr>
        <w:trPr>
          <w:trHeight w:val="370"/>
        </w:trPr>
        <w:tc>
          <w:tcPr>
            <w:gridSpan w:val="3"/>
            <w:shd w:val="clear" w:color="auto" w:fill="9cc2e5" w:themeFill="accent1" w:themeFillTint="99"/>
            <w:tcBorders>
              <w:top w:val="single" w:color="auto" w:sz="4" w:space="0"/>
              <w:left w:val="single" w:color="auto" w:sz="4" w:space="0"/>
              <w:bottom w:val="none" w:color="000000" w:sz="4" w:space="0"/>
              <w:right w:val="none" w:color="000000" w:sz="4" w:space="0"/>
            </w:tcBorders>
            <w:tcW w:w="0" w:type="auto"/>
            <w:vAlign w:val="center"/>
            <w:textDirection w:val="lrTb"/>
            <w:noWrap w:val="false"/>
          </w:tcPr>
          <w:p>
            <w:pPr>
              <w:jc w:val="center"/>
              <w:spacing w:after="0" w:line="240" w:lineRule="auto"/>
              <w:rPr>
                <w:rFonts w:ascii="Calibri" w:hAnsi="Calibri" w:eastAsia="Times New Roman" w:cs="Calibri"/>
                <w:b/>
                <w:bCs/>
                <w:color w:val="000000"/>
                <w:sz w:val="28"/>
                <w:szCs w:val="28"/>
                <w:lang w:eastAsia="fr-FR"/>
              </w:rPr>
            </w:pPr>
            <w:r>
              <w:rPr>
                <w:rFonts w:ascii="Calibri" w:hAnsi="Calibri" w:eastAsia="Times New Roman" w:cs="Calibri"/>
                <w:b/>
                <w:bCs/>
                <w:color w:val="000000"/>
                <w:sz w:val="28"/>
                <w:szCs w:val="28"/>
                <w:lang w:eastAsia="fr-FR"/>
              </w:rPr>
              <w:t xml:space="preserve">Critère B - Opportunité d’entrée sur le marché</w:t>
            </w:r>
            <w:r/>
          </w:p>
        </w:tc>
      </w:tr>
      <w:tr>
        <w:trPr>
          <w:trHeight w:val="290"/>
        </w:trPr>
        <w:tc>
          <w:tcPr>
            <w:gridSpan w:val="3"/>
            <w:shd w:val="clear" w:color="auto" w:fill="9cc2e5" w:themeFill="accent1" w:themeFillTint="99"/>
            <w:tcBorders>
              <w:top w:val="none" w:color="000000" w:sz="4" w:space="0"/>
              <w:left w:val="single" w:color="auto" w:sz="4" w:space="0"/>
              <w:bottom w:val="single" w:color="auto" w:sz="4" w:space="0"/>
              <w:right w:val="none" w:color="000000" w:sz="4" w:space="0"/>
            </w:tcBorders>
            <w:tcW w:w="0" w:type="auto"/>
            <w:vAlign w:val="bottom"/>
            <w:textDirection w:val="lrTb"/>
            <w:noWrap/>
          </w:tcPr>
          <w:p>
            <w:pPr>
              <w:jc w:val="center"/>
              <w:spacing w:after="0" w:line="240" w:lineRule="auto"/>
              <w:rPr>
                <w:rFonts w:ascii="Calibri" w:hAnsi="Calibri" w:eastAsia="Times New Roman" w:cs="Calibri"/>
                <w:i/>
                <w:iCs/>
                <w:color w:val="000000"/>
                <w:sz w:val="20"/>
                <w:szCs w:val="20"/>
                <w:lang w:eastAsia="fr-FR"/>
              </w:rPr>
            </w:pPr>
            <w:r>
              <w:rPr>
                <w:rFonts w:ascii="Calibri" w:hAnsi="Calibri" w:eastAsia="Times New Roman" w:cs="Calibri"/>
                <w:i/>
                <w:iCs/>
                <w:color w:val="000000"/>
                <w:sz w:val="20"/>
                <w:szCs w:val="20"/>
                <w:lang w:eastAsia="fr-FR"/>
              </w:rPr>
              <w:t xml:space="preserve">L’objectif est d’évaluer si le chercheur se représente bien ses atouts et ses manques</w:t>
            </w:r>
            <w:r/>
          </w:p>
        </w:tc>
      </w:tr>
      <w:tr>
        <w:trPr>
          <w:trHeight w:val="290"/>
        </w:trPr>
        <w:tc>
          <w:tcPr>
            <w:gridSpan w:val="3"/>
            <w:shd w:val="clear" w:color="000000" w:fill="d9e1f2"/>
            <w:tcBorders>
              <w:top w:val="single" w:color="auto" w:sz="4" w:space="0"/>
              <w:left w:val="single" w:color="auto" w:sz="4" w:space="0"/>
              <w:bottom w:val="single" w:color="auto" w:sz="4" w:space="0"/>
              <w:right w:val="single" w:color="000000" w:sz="4" w:space="0"/>
            </w:tcBorders>
            <w:tcW w:w="0" w:type="auto"/>
            <w:vAlign w:val="bottom"/>
            <w:textDirection w:val="lrTb"/>
            <w:noWrap/>
          </w:tcPr>
          <w:p>
            <w:pPr>
              <w:jc w:val="center"/>
              <w:spacing w:after="0" w:line="240" w:lineRule="auto"/>
              <w:rPr>
                <w:rFonts w:ascii="Calibri" w:hAnsi="Calibri" w:eastAsia="Times New Roman" w:cs="Calibri"/>
                <w:b/>
                <w:bCs/>
                <w:i/>
                <w:iCs/>
                <w:color w:val="000000"/>
                <w:sz w:val="20"/>
                <w:szCs w:val="20"/>
                <w:lang w:eastAsia="fr-FR"/>
              </w:rPr>
            </w:pPr>
            <w:r>
              <w:rPr>
                <w:rFonts w:ascii="Calibri" w:hAnsi="Calibri" w:eastAsia="Times New Roman" w:cs="Calibri"/>
                <w:b/>
                <w:bCs/>
                <w:i/>
                <w:iCs/>
                <w:color w:val="000000"/>
                <w:sz w:val="20"/>
                <w:szCs w:val="20"/>
                <w:lang w:eastAsia="fr-FR"/>
              </w:rPr>
              <w:t xml:space="preserve">Vision marché (optionnelle en début de PREMAT, obligatoire en sortie de PREMAT)</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tcPr>
          <w:p>
            <w:pPr>
              <w:jc w:val="cente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OUI</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tcPr>
          <w:p>
            <w:pPr>
              <w:jc w:val="cente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NON</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w:t>
            </w:r>
            <w:r>
              <w:rPr>
                <w:rFonts w:ascii="Calibri" w:hAnsi="Calibri" w:eastAsia="Times New Roman" w:cs="Calibri"/>
                <w:color w:val="000000"/>
                <w:sz w:val="20"/>
                <w:szCs w:val="20"/>
                <w:lang w:eastAsia="fr-FR"/>
              </w:rPr>
              <w:t xml:space="preserve">proposant</w:t>
            </w:r>
            <w:r>
              <w:rPr>
                <w:rFonts w:ascii="Calibri" w:hAnsi="Calibri" w:eastAsia="Times New Roman" w:cs="Calibri"/>
                <w:color w:val="000000"/>
                <w:sz w:val="20"/>
                <w:szCs w:val="20"/>
                <w:lang w:eastAsia="fr-FR"/>
              </w:rPr>
              <w:t xml:space="preserve"> </w:t>
            </w:r>
            <w:r>
              <w:rPr>
                <w:rFonts w:ascii="Calibri" w:hAnsi="Calibri" w:eastAsia="Times New Roman" w:cs="Calibri"/>
                <w:color w:val="000000"/>
                <w:sz w:val="20"/>
                <w:szCs w:val="20"/>
                <w:lang w:eastAsia="fr-FR"/>
              </w:rPr>
              <w:t xml:space="preserve">envisage-t-il des applications concrètes de son produit sur le marché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 </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projet énonce-t-il des ordres de grandeur de prix, volumétrie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52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projet énonce-t-il un temps d’accès au marché, lorsque le marché existe ? Comment se positionne la solution par rapport au marché actuel ou anticipé, national et international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produit développé se différencie-t-il des solutions existantes sur le marché ?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290"/>
        </w:trPr>
        <w:tc>
          <w:tcPr>
            <w:gridSpan w:val="3"/>
            <w:shd w:val="clear" w:color="000000" w:fill="d9e1f2"/>
            <w:tcBorders>
              <w:top w:val="single" w:color="auto" w:sz="4" w:space="0"/>
              <w:left w:val="single" w:color="auto" w:sz="4" w:space="0"/>
              <w:bottom w:val="single" w:color="auto" w:sz="4" w:space="0"/>
              <w:right w:val="single" w:color="000000" w:sz="4" w:space="0"/>
            </w:tcBorders>
            <w:tcW w:w="0" w:type="auto"/>
            <w:vAlign w:val="bottom"/>
            <w:textDirection w:val="lrTb"/>
            <w:noWrap/>
          </w:tcPr>
          <w:p>
            <w:pPr>
              <w:jc w:val="center"/>
              <w:spacing w:after="0" w:line="240" w:lineRule="auto"/>
              <w:rPr>
                <w:rFonts w:ascii="Calibri" w:hAnsi="Calibri" w:eastAsia="Times New Roman" w:cs="Calibri"/>
                <w:b/>
                <w:bCs/>
                <w:i/>
                <w:iCs/>
                <w:color w:val="000000"/>
                <w:sz w:val="20"/>
                <w:szCs w:val="20"/>
                <w:lang w:eastAsia="fr-FR"/>
              </w:rPr>
            </w:pPr>
            <w:r>
              <w:rPr>
                <w:rFonts w:ascii="Calibri" w:hAnsi="Calibri" w:eastAsia="Times New Roman" w:cs="Calibri"/>
                <w:b/>
                <w:bCs/>
                <w:i/>
                <w:iCs/>
                <w:color w:val="000000"/>
                <w:sz w:val="20"/>
                <w:szCs w:val="20"/>
                <w:lang w:eastAsia="fr-FR"/>
              </w:rPr>
              <w:t xml:space="preserve">Vision sur la maturité technologique/ technique du projet</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tcPr>
          <w:p>
            <w:pPr>
              <w:jc w:val="cente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OUI</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tcPr>
          <w:p>
            <w:pPr>
              <w:jc w:val="cente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NON</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concept clef est-il innovant par rapport à l’état de l’art ?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52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projet énonce-t-il clairement les verrous technologiques/techniques à lever et les moyens d’y parvenir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projet est-il en capacité d’atteindre </w:t>
            </w:r>
            <w:r>
              <w:rPr>
                <w:rFonts w:ascii="Calibri" w:hAnsi="Calibri" w:eastAsia="Times New Roman" w:cs="Calibri"/>
                <w:color w:val="000000"/>
                <w:sz w:val="20"/>
                <w:szCs w:val="20"/>
                <w:lang w:eastAsia="fr-FR"/>
              </w:rPr>
              <w:t xml:space="preserve">la</w:t>
            </w:r>
            <w:r>
              <w:rPr>
                <w:rFonts w:ascii="Calibri" w:hAnsi="Calibri" w:eastAsia="Times New Roman" w:cs="Calibri"/>
                <w:color w:val="000000"/>
                <w:sz w:val="20"/>
                <w:szCs w:val="20"/>
                <w:lang w:eastAsia="fr-FR"/>
              </w:rPr>
              <w:t xml:space="preserve"> </w:t>
            </w:r>
            <w:r>
              <w:rPr>
                <w:rFonts w:ascii="Calibri" w:hAnsi="Calibri" w:eastAsia="Times New Roman" w:cs="Calibri"/>
                <w:color w:val="000000"/>
                <w:sz w:val="20"/>
                <w:szCs w:val="20"/>
                <w:lang w:eastAsia="fr-FR"/>
              </w:rPr>
              <w:t xml:space="preserve">preuve de concept en fin de </w:t>
            </w:r>
            <w:r>
              <w:rPr>
                <w:rFonts w:ascii="Calibri" w:hAnsi="Calibri" w:eastAsia="Times New Roman" w:cs="Calibri"/>
                <w:color w:val="000000"/>
                <w:sz w:val="20"/>
                <w:szCs w:val="20"/>
                <w:lang w:eastAsia="fr-FR"/>
              </w:rPr>
              <w:t xml:space="preserve">prématuration</w:t>
            </w:r>
            <w:r>
              <w:rPr>
                <w:rFonts w:ascii="Calibri" w:hAnsi="Calibri" w:eastAsia="Times New Roman" w:cs="Calibri"/>
                <w:color w:val="000000"/>
                <w:sz w:val="20"/>
                <w:szCs w:val="20"/>
                <w:lang w:eastAsia="fr-FR"/>
              </w:rPr>
              <w:t xml:space="preserve"> ?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52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La</w:t>
            </w:r>
            <w:r>
              <w:rPr>
                <w:rFonts w:ascii="Calibri" w:hAnsi="Calibri" w:eastAsia="Times New Roman" w:cs="Calibri"/>
                <w:color w:val="000000"/>
                <w:sz w:val="20"/>
                <w:szCs w:val="20"/>
                <w:lang w:eastAsia="fr-FR"/>
              </w:rPr>
              <w:t xml:space="preserve"> feuille de route technologique proposée permet</w:t>
            </w:r>
            <w:r>
              <w:rPr>
                <w:rFonts w:ascii="Calibri" w:hAnsi="Calibri" w:eastAsia="Times New Roman" w:cs="Calibri"/>
                <w:color w:val="000000"/>
                <w:sz w:val="20"/>
                <w:szCs w:val="20"/>
                <w:lang w:eastAsia="fr-FR"/>
              </w:rPr>
              <w:t xml:space="preserve">-elle</w:t>
            </w:r>
            <w:r>
              <w:rPr>
                <w:rFonts w:ascii="Calibri" w:hAnsi="Calibri" w:eastAsia="Times New Roman" w:cs="Calibri"/>
                <w:color w:val="000000"/>
                <w:sz w:val="20"/>
                <w:szCs w:val="20"/>
                <w:lang w:eastAsia="fr-FR"/>
              </w:rPr>
              <w:t xml:space="preserve"> une évolution significative sur l’échelle TRL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w:t>
            </w:r>
            <w:r>
              <w:rPr>
                <w:rFonts w:ascii="Calibri" w:hAnsi="Calibri" w:eastAsia="Times New Roman" w:cs="Calibri"/>
                <w:color w:val="000000"/>
                <w:sz w:val="20"/>
                <w:szCs w:val="20"/>
                <w:lang w:eastAsia="fr-FR"/>
              </w:rPr>
              <w:t xml:space="preserve"> projet </w:t>
            </w:r>
            <w:r>
              <w:rPr>
                <w:rFonts w:ascii="Calibri" w:hAnsi="Calibri" w:eastAsia="Times New Roman" w:cs="Calibri"/>
                <w:color w:val="000000"/>
                <w:sz w:val="20"/>
                <w:szCs w:val="20"/>
                <w:lang w:eastAsia="fr-FR"/>
              </w:rPr>
              <w:t xml:space="preserve">prévoit</w:t>
            </w:r>
            <w:r>
              <w:rPr>
                <w:rFonts w:ascii="Calibri" w:hAnsi="Calibri" w:eastAsia="Times New Roman" w:cs="Calibri"/>
                <w:color w:val="000000"/>
                <w:sz w:val="20"/>
                <w:szCs w:val="20"/>
                <w:lang w:eastAsia="fr-FR"/>
              </w:rPr>
              <w:t xml:space="preserve">-il</w:t>
            </w:r>
            <w:r>
              <w:rPr>
                <w:rFonts w:ascii="Calibri" w:hAnsi="Calibri" w:eastAsia="Times New Roman" w:cs="Calibri"/>
                <w:color w:val="000000"/>
                <w:sz w:val="20"/>
                <w:szCs w:val="20"/>
                <w:lang w:eastAsia="fr-FR"/>
              </w:rPr>
              <w:t xml:space="preserve"> une stratégie de protection intellectuelle ?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290"/>
        </w:trPr>
        <w:tc>
          <w:tcPr>
            <w:shd w:val="clear" w:color="auto" w:fill="auto"/>
            <w:tcBorders>
              <w:top w:val="none" w:color="000000" w:sz="4" w:space="0"/>
              <w:left w:val="none" w:color="000000" w:sz="4" w:space="0"/>
              <w:bottom w:val="none" w:color="000000" w:sz="4" w:space="0"/>
              <w:right w:val="none" w:color="000000"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r>
            <w:r/>
          </w:p>
        </w:tc>
        <w:tc>
          <w:tcPr>
            <w:shd w:val="clear" w:color="auto" w:fill="auto"/>
            <w:tcBorders>
              <w:top w:val="none" w:color="000000" w:sz="4" w:space="0"/>
              <w:left w:val="none" w:color="000000" w:sz="4" w:space="0"/>
              <w:bottom w:val="none" w:color="000000" w:sz="4" w:space="0"/>
              <w:right w:val="none" w:color="000000" w:sz="4" w:space="0"/>
            </w:tcBorders>
            <w:tcW w:w="0" w:type="auto"/>
            <w:vAlign w:val="bottom"/>
            <w:textDirection w:val="lrTb"/>
            <w:noWrap/>
          </w:tcPr>
          <w:p>
            <w:pPr>
              <w:spacing w:after="0" w:line="240" w:lineRule="auto"/>
              <w:rPr>
                <w:rFonts w:ascii="Times New Roman" w:hAnsi="Times New Roman" w:eastAsia="Times New Roman" w:cs="Times New Roman"/>
                <w:sz w:val="20"/>
                <w:szCs w:val="20"/>
                <w:lang w:eastAsia="fr-FR"/>
              </w:rPr>
            </w:pPr>
            <w:r>
              <w:rPr>
                <w:rFonts w:ascii="Times New Roman" w:hAnsi="Times New Roman" w:eastAsia="Times New Roman" w:cs="Times New Roman"/>
                <w:sz w:val="20"/>
                <w:szCs w:val="20"/>
                <w:lang w:eastAsia="fr-FR"/>
              </w:rPr>
            </w:r>
            <w:r/>
          </w:p>
        </w:tc>
        <w:tc>
          <w:tcPr>
            <w:shd w:val="clear" w:color="auto" w:fill="auto"/>
            <w:tcBorders>
              <w:top w:val="none" w:color="000000" w:sz="4" w:space="0"/>
              <w:left w:val="none" w:color="000000" w:sz="4" w:space="0"/>
              <w:bottom w:val="none" w:color="000000" w:sz="4" w:space="0"/>
              <w:right w:val="none" w:color="000000" w:sz="4" w:space="0"/>
            </w:tcBorders>
            <w:tcW w:w="0" w:type="auto"/>
            <w:vAlign w:val="bottom"/>
            <w:textDirection w:val="lrTb"/>
            <w:noWrap/>
          </w:tcPr>
          <w:p>
            <w:pPr>
              <w:spacing w:after="0" w:line="240" w:lineRule="auto"/>
              <w:rPr>
                <w:rFonts w:ascii="Times New Roman" w:hAnsi="Times New Roman" w:eastAsia="Times New Roman" w:cs="Times New Roman"/>
                <w:sz w:val="20"/>
                <w:szCs w:val="20"/>
                <w:lang w:eastAsia="fr-FR"/>
              </w:rPr>
            </w:pPr>
            <w:r>
              <w:rPr>
                <w:rFonts w:ascii="Times New Roman" w:hAnsi="Times New Roman" w:eastAsia="Times New Roman" w:cs="Times New Roman"/>
                <w:sz w:val="20"/>
                <w:szCs w:val="20"/>
                <w:lang w:eastAsia="fr-FR"/>
              </w:rPr>
            </w:r>
            <w:r/>
          </w:p>
        </w:tc>
      </w:tr>
      <w:tr>
        <w:trPr>
          <w:trHeight w:val="290"/>
        </w:trPr>
        <w:tc>
          <w:tcPr>
            <w:shd w:val="clear" w:color="auto" w:fill="auto"/>
            <w:tcBorders>
              <w:top w:val="none" w:color="000000" w:sz="4" w:space="0"/>
              <w:left w:val="none" w:color="000000" w:sz="4" w:space="0"/>
              <w:bottom w:val="none" w:color="000000" w:sz="4" w:space="0"/>
              <w:right w:val="none" w:color="000000" w:sz="4" w:space="0"/>
            </w:tcBorders>
            <w:tcW w:w="0" w:type="auto"/>
            <w:vAlign w:val="bottom"/>
            <w:textDirection w:val="lrTb"/>
            <w:noWrap/>
          </w:tcPr>
          <w:p>
            <w:pPr>
              <w:spacing w:after="0" w:line="240" w:lineRule="auto"/>
              <w:rPr>
                <w:rFonts w:ascii="Times New Roman" w:hAnsi="Times New Roman" w:eastAsia="Times New Roman" w:cs="Times New Roman"/>
                <w:sz w:val="20"/>
                <w:szCs w:val="20"/>
                <w:lang w:eastAsia="fr-FR"/>
              </w:rPr>
            </w:pPr>
            <w:r>
              <w:rPr>
                <w:rFonts w:ascii="Times New Roman" w:hAnsi="Times New Roman" w:eastAsia="Times New Roman" w:cs="Times New Roman"/>
                <w:sz w:val="20"/>
                <w:szCs w:val="20"/>
                <w:lang w:eastAsia="fr-FR"/>
              </w:rPr>
            </w:r>
            <w:r/>
          </w:p>
        </w:tc>
        <w:tc>
          <w:tcPr>
            <w:shd w:val="clear" w:color="auto" w:fill="auto"/>
            <w:tcBorders>
              <w:top w:val="none" w:color="000000" w:sz="4" w:space="0"/>
              <w:left w:val="none" w:color="000000" w:sz="4" w:space="0"/>
              <w:bottom w:val="none" w:color="000000" w:sz="4" w:space="0"/>
              <w:right w:val="none" w:color="000000" w:sz="4" w:space="0"/>
            </w:tcBorders>
            <w:tcW w:w="0" w:type="auto"/>
            <w:vAlign w:val="bottom"/>
            <w:textDirection w:val="lrTb"/>
            <w:noWrap/>
          </w:tcPr>
          <w:p>
            <w:pPr>
              <w:spacing w:after="0" w:line="240" w:lineRule="auto"/>
              <w:rPr>
                <w:rFonts w:ascii="Times New Roman" w:hAnsi="Times New Roman" w:eastAsia="Times New Roman" w:cs="Times New Roman"/>
                <w:sz w:val="20"/>
                <w:szCs w:val="20"/>
                <w:lang w:eastAsia="fr-FR"/>
              </w:rPr>
            </w:pPr>
            <w:r>
              <w:rPr>
                <w:rFonts w:ascii="Times New Roman" w:hAnsi="Times New Roman" w:eastAsia="Times New Roman" w:cs="Times New Roman"/>
                <w:sz w:val="20"/>
                <w:szCs w:val="20"/>
                <w:lang w:eastAsia="fr-FR"/>
              </w:rPr>
            </w:r>
            <w:r/>
          </w:p>
        </w:tc>
        <w:tc>
          <w:tcPr>
            <w:shd w:val="clear" w:color="auto" w:fill="auto"/>
            <w:tcBorders>
              <w:top w:val="none" w:color="000000" w:sz="4" w:space="0"/>
              <w:left w:val="none" w:color="000000" w:sz="4" w:space="0"/>
              <w:bottom w:val="none" w:color="000000" w:sz="4" w:space="0"/>
              <w:right w:val="none" w:color="000000" w:sz="4" w:space="0"/>
            </w:tcBorders>
            <w:tcW w:w="0" w:type="auto"/>
            <w:vAlign w:val="bottom"/>
            <w:textDirection w:val="lrTb"/>
            <w:noWrap/>
          </w:tcPr>
          <w:p>
            <w:pPr>
              <w:spacing w:after="0" w:line="240" w:lineRule="auto"/>
              <w:rPr>
                <w:rFonts w:ascii="Times New Roman" w:hAnsi="Times New Roman" w:eastAsia="Times New Roman" w:cs="Times New Roman"/>
                <w:sz w:val="20"/>
                <w:szCs w:val="20"/>
                <w:lang w:eastAsia="fr-FR"/>
              </w:rPr>
            </w:pPr>
            <w:r>
              <w:rPr>
                <w:rFonts w:ascii="Times New Roman" w:hAnsi="Times New Roman" w:eastAsia="Times New Roman" w:cs="Times New Roman"/>
                <w:sz w:val="20"/>
                <w:szCs w:val="20"/>
                <w:lang w:eastAsia="fr-FR"/>
              </w:rPr>
            </w:r>
            <w:r/>
          </w:p>
        </w:tc>
      </w:tr>
      <w:tr>
        <w:trPr>
          <w:trHeight w:val="370"/>
        </w:trPr>
        <w:tc>
          <w:tcPr>
            <w:gridSpan w:val="3"/>
            <w:shd w:val="clear" w:color="auto" w:fill="9cc2e5" w:themeFill="accent1" w:themeFillTint="99"/>
            <w:tcBorders>
              <w:top w:val="single" w:color="auto" w:sz="4" w:space="0"/>
              <w:left w:val="single" w:color="auto" w:sz="4" w:space="0"/>
              <w:bottom w:val="single" w:color="auto" w:sz="4" w:space="0"/>
              <w:right w:val="single" w:color="auto" w:sz="4" w:space="0"/>
            </w:tcBorders>
            <w:tcW w:w="0" w:type="auto"/>
            <w:vAlign w:val="center"/>
            <w:textDirection w:val="lrTb"/>
            <w:noWrap/>
          </w:tcPr>
          <w:p>
            <w:pPr>
              <w:jc w:val="center"/>
              <w:spacing w:after="0" w:line="240" w:lineRule="auto"/>
              <w:rPr>
                <w:rFonts w:ascii="Calibri" w:hAnsi="Calibri" w:eastAsia="Times New Roman" w:cs="Calibri"/>
                <w:b/>
                <w:bCs/>
                <w:color w:val="000000"/>
                <w:sz w:val="28"/>
                <w:szCs w:val="28"/>
                <w:lang w:eastAsia="fr-FR"/>
              </w:rPr>
            </w:pPr>
            <w:r>
              <w:rPr>
                <w:rFonts w:ascii="Calibri" w:hAnsi="Calibri" w:eastAsia="Times New Roman" w:cs="Calibri"/>
                <w:b/>
                <w:bCs/>
                <w:color w:val="000000"/>
                <w:sz w:val="28"/>
                <w:szCs w:val="28"/>
                <w:lang w:eastAsia="fr-FR"/>
              </w:rPr>
              <w:t xml:space="preserve">Critère C - Qualité de l’équipe projet</w:t>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tcPr>
          <w:p>
            <w:pPr>
              <w:jc w:val="cente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OUI</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center"/>
            <w:textDirection w:val="lrTb"/>
            <w:noWrap/>
          </w:tcPr>
          <w:p>
            <w:pPr>
              <w:jc w:val="cente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NON</w:t>
            </w:r>
            <w:r/>
          </w:p>
        </w:tc>
      </w:tr>
      <w:tr>
        <w:trPr>
          <w:trHeight w:val="52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w:t>
            </w:r>
            <w:r>
              <w:rPr>
                <w:rFonts w:ascii="Calibri" w:hAnsi="Calibri" w:eastAsia="Times New Roman" w:cs="Calibri"/>
                <w:color w:val="000000"/>
                <w:sz w:val="20"/>
                <w:szCs w:val="20"/>
                <w:lang w:eastAsia="fr-FR"/>
              </w:rPr>
              <w:t xml:space="preserve">(s) proposant(s) est</w:t>
            </w:r>
            <w:r>
              <w:rPr>
                <w:rFonts w:ascii="Calibri" w:hAnsi="Calibri" w:eastAsia="Times New Roman" w:cs="Calibri"/>
                <w:color w:val="000000"/>
                <w:sz w:val="20"/>
                <w:szCs w:val="20"/>
                <w:lang w:eastAsia="fr-FR"/>
              </w:rPr>
              <w:t xml:space="preserve">-il</w:t>
            </w:r>
            <w:r>
              <w:rPr>
                <w:rFonts w:ascii="Calibri" w:hAnsi="Calibri" w:eastAsia="Times New Roman" w:cs="Calibri"/>
                <w:color w:val="000000"/>
                <w:sz w:val="20"/>
                <w:szCs w:val="20"/>
                <w:lang w:eastAsia="fr-FR"/>
              </w:rPr>
              <w:t xml:space="preserve"> identifié et disponible pour accélérer le développement du projet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52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Les</w:t>
            </w:r>
            <w:r>
              <w:rPr>
                <w:rFonts w:ascii="Calibri" w:hAnsi="Calibri" w:eastAsia="Times New Roman" w:cs="Calibri"/>
                <w:color w:val="000000"/>
                <w:sz w:val="20"/>
                <w:szCs w:val="20"/>
                <w:lang w:eastAsia="fr-FR"/>
              </w:rPr>
              <w:t xml:space="preserve"> compétences du proposant pour développer l’offre sont</w:t>
            </w:r>
            <w:r>
              <w:rPr>
                <w:rFonts w:ascii="Calibri" w:hAnsi="Calibri" w:eastAsia="Times New Roman" w:cs="Calibri"/>
                <w:color w:val="000000"/>
                <w:sz w:val="20"/>
                <w:szCs w:val="20"/>
                <w:lang w:eastAsia="fr-FR"/>
              </w:rPr>
              <w:t xml:space="preserve">-elles</w:t>
            </w:r>
            <w:r>
              <w:rPr>
                <w:rFonts w:ascii="Calibri" w:hAnsi="Calibri" w:eastAsia="Times New Roman" w:cs="Calibri"/>
                <w:color w:val="000000"/>
                <w:sz w:val="20"/>
                <w:szCs w:val="20"/>
                <w:lang w:eastAsia="fr-FR"/>
              </w:rPr>
              <w:t xml:space="preserve"> pertinentes ? Si</w:t>
            </w:r>
            <w:r>
              <w:rPr>
                <w:rFonts w:ascii="Calibri" w:hAnsi="Calibri" w:eastAsia="Times New Roman" w:cs="Calibri"/>
                <w:color w:val="000000"/>
                <w:sz w:val="20"/>
                <w:szCs w:val="20"/>
                <w:lang w:eastAsia="fr-FR"/>
              </w:rPr>
              <w:t xml:space="preserve">non, </w:t>
            </w:r>
            <w:r>
              <w:rPr>
                <w:rFonts w:ascii="Calibri" w:hAnsi="Calibri" w:eastAsia="Times New Roman" w:cs="Calibri"/>
                <w:color w:val="000000"/>
                <w:sz w:val="20"/>
                <w:szCs w:val="20"/>
                <w:lang w:eastAsia="fr-FR"/>
              </w:rPr>
              <w:t xml:space="preserve">la</w:t>
            </w:r>
            <w:r>
              <w:rPr>
                <w:rFonts w:ascii="Calibri" w:hAnsi="Calibri" w:eastAsia="Times New Roman" w:cs="Calibri"/>
                <w:color w:val="000000"/>
                <w:sz w:val="20"/>
                <w:szCs w:val="20"/>
                <w:lang w:eastAsia="fr-FR"/>
              </w:rPr>
              <w:t xml:space="preserve"> possibilité de s’entourer de compétences supplémentaires</w:t>
            </w:r>
            <w:r>
              <w:rPr>
                <w:rFonts w:ascii="Calibri" w:hAnsi="Calibri" w:eastAsia="Times New Roman" w:cs="Calibri"/>
                <w:color w:val="000000"/>
                <w:sz w:val="20"/>
                <w:szCs w:val="20"/>
                <w:lang w:eastAsia="fr-FR"/>
              </w:rPr>
              <w:t xml:space="preserve"> est-elle</w:t>
            </w:r>
            <w:r>
              <w:rPr>
                <w:rFonts w:ascii="Calibri" w:hAnsi="Calibri" w:eastAsia="Times New Roman" w:cs="Calibri"/>
                <w:color w:val="000000"/>
                <w:sz w:val="20"/>
                <w:szCs w:val="20"/>
                <w:lang w:eastAsia="fr-FR"/>
              </w:rPr>
              <w:t xml:space="preserve"> avéré</w:t>
            </w:r>
            <w:r>
              <w:rPr>
                <w:rFonts w:ascii="Calibri" w:hAnsi="Calibri" w:eastAsia="Times New Roman" w:cs="Calibri"/>
                <w:color w:val="000000"/>
                <w:sz w:val="20"/>
                <w:szCs w:val="20"/>
                <w:lang w:eastAsia="fr-FR"/>
              </w:rPr>
              <w:t xml:space="preserve">e </w:t>
            </w:r>
            <w:r>
              <w:rPr>
                <w:rFonts w:ascii="Calibri" w:hAnsi="Calibri" w:eastAsia="Times New Roman" w:cs="Calibri"/>
                <w:color w:val="000000"/>
                <w:sz w:val="20"/>
                <w:szCs w:val="20"/>
                <w:lang w:eastAsia="fr-FR"/>
              </w:rPr>
              <w:t xml:space="preserve">?</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r>
        <w:trPr>
          <w:trHeight w:val="52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val="false"/>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proposant est-il explicitement dans une optique de valorisation économique et non de recherche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r>
            <w:r/>
          </w:p>
        </w:tc>
      </w:tr>
      <w:tr>
        <w:trPr>
          <w:trHeight w:val="290"/>
        </w:trPr>
        <w:tc>
          <w:tcPr>
            <w:shd w:val="clear" w:color="auto" w:fill="auto"/>
            <w:tcBorders>
              <w:top w:val="none" w:color="000000" w:sz="4" w:space="0"/>
              <w:left w:val="single" w:color="auto" w:sz="4" w:space="0"/>
              <w:bottom w:val="single" w:color="auto" w:sz="4" w:space="0"/>
              <w:right w:val="single" w:color="auto" w:sz="4" w:space="0"/>
            </w:tcBorders>
            <w:tcW w:w="0" w:type="auto"/>
            <w:vAlign w:val="center"/>
            <w:textDirection w:val="lrTb"/>
            <w:noWrap/>
          </w:tcPr>
          <w:p>
            <w:pPr>
              <w:spacing w:after="0" w:line="240" w:lineRule="auto"/>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L’adéquation entre le financement et les développements prévus est-elle claire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0" w:type="auto"/>
            <w:vAlign w:val="bottom"/>
            <w:textDirection w:val="lrTb"/>
            <w:noWrap/>
          </w:tcPr>
          <w:p>
            <w:pPr>
              <w:spacing w:after="0" w:line="240" w:lineRule="auto"/>
              <w:rPr>
                <w:rFonts w:ascii="Calibri" w:hAnsi="Calibri" w:eastAsia="Times New Roman" w:cs="Calibri"/>
                <w:color w:val="000000"/>
                <w:lang w:eastAsia="fr-FR"/>
              </w:rPr>
            </w:pPr>
            <w:r>
              <w:rPr>
                <w:rFonts w:ascii="Calibri" w:hAnsi="Calibri" w:eastAsia="Times New Roman" w:cs="Calibri"/>
                <w:color w:val="000000"/>
                <w:lang w:eastAsia="fr-FR"/>
              </w:rPr>
              <w:t xml:space="preserve"> </w:t>
            </w:r>
            <w:r/>
          </w:p>
        </w:tc>
      </w:tr>
    </w:tbl>
    <w:p>
      <w:pPr>
        <w:contextualSpacing/>
        <w:spacing w:before="240" w:after="240" w:line="240" w:lineRule="auto"/>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p>
    <w:p>
      <w:r/>
      <w:r/>
    </w:p>
    <w:p>
      <w:pPr>
        <w:rPr>
          <w:rFonts w:asciiTheme="majorHAnsi" w:hAnsiTheme="majorHAnsi" w:eastAsiaTheme="majorEastAsia" w:cstheme="majorBidi"/>
          <w:b/>
          <w:color w:val="2e74b5" w:themeColor="accent1" w:themeShade="BF"/>
          <w:sz w:val="28"/>
          <w:szCs w:val="32"/>
        </w:rPr>
      </w:pPr>
      <w:r>
        <w:br w:type="page" w:clear="all"/>
      </w:r>
      <w:r/>
    </w:p>
    <w:p>
      <w:pPr>
        <w:pStyle w:val="753"/>
      </w:pPr>
      <w:r>
        <w:t xml:space="preserve">I</w:t>
      </w:r>
      <w:r>
        <w:t xml:space="preserve">dentité du projet</w:t>
      </w:r>
      <w:r/>
    </w:p>
    <w:tbl>
      <w:tblPr>
        <w:tblStyle w:val="957"/>
        <w:tblW w:w="5000" w:type="pct"/>
        <w:jc w:val="center"/>
        <w:tblLook w:val="04A0" w:firstRow="1" w:lastRow="0" w:firstColumn="1" w:lastColumn="0" w:noHBand="0" w:noVBand="1"/>
      </w:tblPr>
      <w:tblGrid>
        <w:gridCol w:w="2547"/>
        <w:gridCol w:w="7189"/>
      </w:tblGrid>
      <w:tr>
        <w:trPr>
          <w:jc w:val="center"/>
          <w:trHeight w:val="340"/>
        </w:trPr>
        <w:tc>
          <w:tcPr>
            <w:gridSpan w:val="2"/>
            <w:shd w:val="clear" w:color="auto" w:fill="9cc2e5" w:themeFill="accent1" w:themeFillTint="99"/>
            <w:tcW w:w="5000" w:type="pct"/>
            <w:vAlign w:val="center"/>
            <w:textDirection w:val="lrTb"/>
            <w:noWrap w:val="false"/>
          </w:tcPr>
          <w:p>
            <w:pPr>
              <w:jc w:val="center"/>
              <w:rPr>
                <w:rFonts w:ascii="Calibri" w:hAnsi="Calibri" w:cs="Calibri"/>
                <w:b/>
              </w:rPr>
            </w:pPr>
            <w:r>
              <w:rPr>
                <w:rFonts w:ascii="Calibri" w:hAnsi="Calibri" w:cs="Calibri"/>
                <w:b/>
              </w:rPr>
              <w:t xml:space="preserve">Identité du projet</w:t>
            </w:r>
            <w:r/>
          </w:p>
        </w:tc>
      </w:tr>
      <w:tr>
        <w:trPr>
          <w:jc w:val="center"/>
          <w:trHeight w:val="340"/>
        </w:trPr>
        <w:tc>
          <w:tcPr>
            <w:tcW w:w="1308" w:type="pct"/>
            <w:vAlign w:val="center"/>
            <w:textDirection w:val="lrTb"/>
            <w:noWrap w:val="false"/>
          </w:tcPr>
          <w:p>
            <w:pPr>
              <w:rPr>
                <w:rFonts w:ascii="Calibri" w:hAnsi="Calibri" w:cs="Calibri"/>
              </w:rPr>
            </w:pPr>
            <w:r>
              <w:rPr>
                <w:rFonts w:ascii="Calibri" w:hAnsi="Calibri" w:cs="Calibri"/>
              </w:rPr>
              <w:t xml:space="preserve">Acronyme du projet</w:t>
            </w:r>
            <w:r/>
          </w:p>
        </w:tc>
        <w:tc>
          <w:tcPr>
            <w:tcW w:w="3692" w:type="pct"/>
            <w:vAlign w:val="center"/>
            <w:textDirection w:val="lrTb"/>
            <w:noWrap w:val="false"/>
          </w:tcPr>
          <w:p>
            <w:pPr>
              <w:rPr>
                <w:rFonts w:ascii="Calibri" w:hAnsi="Calibri" w:cs="Calibri"/>
              </w:rPr>
            </w:pPr>
            <w:r>
              <w:rPr>
                <w:rFonts w:ascii="Calibri" w:hAnsi="Calibri" w:cs="Calibri"/>
              </w:rPr>
            </w:r>
            <w:r/>
          </w:p>
        </w:tc>
      </w:tr>
      <w:tr>
        <w:trPr>
          <w:jc w:val="center"/>
          <w:trHeight w:val="340"/>
        </w:trPr>
        <w:tc>
          <w:tcPr>
            <w:tcW w:w="1308" w:type="pct"/>
            <w:vAlign w:val="center"/>
            <w:textDirection w:val="lrTb"/>
            <w:noWrap w:val="false"/>
          </w:tcPr>
          <w:p>
            <w:pPr>
              <w:rPr>
                <w:rFonts w:ascii="Calibri" w:hAnsi="Calibri" w:cs="Calibri"/>
              </w:rPr>
            </w:pPr>
            <w:r>
              <w:rPr>
                <w:rFonts w:ascii="Calibri" w:hAnsi="Calibri" w:cs="Calibri"/>
              </w:rPr>
              <w:t xml:space="preserve">Mots-clés</w:t>
            </w:r>
            <w:r/>
          </w:p>
        </w:tc>
        <w:tc>
          <w:tcPr>
            <w:tcW w:w="3692" w:type="pct"/>
            <w:vAlign w:val="center"/>
            <w:textDirection w:val="lrTb"/>
            <w:noWrap w:val="false"/>
          </w:tcPr>
          <w:p>
            <w:pPr>
              <w:rPr>
                <w:rFonts w:ascii="Calibri" w:hAnsi="Calibri" w:cs="Calibri"/>
              </w:rPr>
            </w:pPr>
            <w:r>
              <w:rPr>
                <w:rFonts w:ascii="Calibri" w:hAnsi="Calibri" w:cs="Calibri"/>
              </w:rPr>
            </w:r>
            <w:r/>
          </w:p>
        </w:tc>
      </w:tr>
      <w:tr>
        <w:trPr>
          <w:jc w:val="center"/>
          <w:trHeight w:val="340"/>
        </w:trPr>
        <w:tc>
          <w:tcPr>
            <w:tcW w:w="1308" w:type="pct"/>
            <w:vAlign w:val="center"/>
            <w:textDirection w:val="lrTb"/>
            <w:noWrap w:val="false"/>
          </w:tcPr>
          <w:p>
            <w:pPr>
              <w:rPr>
                <w:rFonts w:ascii="Calibri" w:hAnsi="Calibri" w:cs="Calibri"/>
              </w:rPr>
            </w:pPr>
            <w:r>
              <w:rPr>
                <w:rFonts w:ascii="Calibri" w:hAnsi="Calibri" w:cs="Calibri"/>
              </w:rPr>
              <w:t xml:space="preserve">SNA</w:t>
            </w:r>
            <w:r/>
          </w:p>
        </w:tc>
        <w:tc>
          <w:tcPr>
            <w:tcW w:w="3692" w:type="pct"/>
            <w:vAlign w:val="center"/>
            <w:textDirection w:val="lrTb"/>
            <w:noWrap w:val="false"/>
          </w:tcPr>
          <w:p>
            <w:pPr>
              <w:jc w:val="center"/>
              <w:rPr>
                <w:rFonts w:ascii="Calibri" w:hAnsi="Calibri" w:cs="Calibri"/>
              </w:rPr>
            </w:pPr>
            <w:r>
              <w:rPr>
                <w:rFonts w:ascii="Calibri" w:hAnsi="Calibri" w:cs="Calibri"/>
              </w:rPr>
              <w:t xml:space="preserve">VDBI </w:t>
            </w:r>
            <w:sdt>
              <w:sdtPr>
                <w15:appearance w15:val="boundingBox"/>
                <w:id w:val="-987244554"/>
                <w14:checkbox>
                  <w14:checked w14:val="0"/>
                  <w14:checkedState w14:val="2612" w14:font="MS Gothic"/>
                  <w14:uncheckedState w14:val="2610" w14:font="MS Gothic"/>
                </w14:checkbox>
                <w:rPr>
                  <w:rFonts w:ascii="Calibri" w:hAnsi="Calibri" w:cs="Calibri"/>
                </w:rPr>
              </w:sdtPr>
              <w:sdtContent>
                <w:r>
                  <w:rPr>
                    <w:rFonts w:ascii="Segoe UI Symbol" w:hAnsi="Segoe UI Symbol" w:eastAsia="MS Gothic" w:cs="Segoe UI Symbol"/>
                  </w:rPr>
                  <w:t xml:space="preserve">☐</w:t>
                </w:r>
              </w:sdtContent>
            </w:sdt>
            <w:r>
              <w:rPr>
                <w:rFonts w:ascii="Calibri" w:hAnsi="Calibri" w:cs="Calibri"/>
              </w:rPr>
              <w:t xml:space="preserve">                                                                                              DDM</w:t>
            </w:r>
            <w:sdt>
              <w:sdtPr>
                <w:alias w:val=""/>
                <w15:appearance w15:val="boundingBox"/>
                <w:id w:val="-223611107"/>
                <w:tag w:val=""/>
                <w14:checkbox>
                  <w14:checked w14:val="0"/>
                  <w14:checkedState w14:val="2612" w14:font="MS Gothic"/>
                  <w14:uncheckedState w14:val="2610" w14:font="MS Gothic"/>
                </w14:checkbox>
                <w:rPr>
                  <w:rFonts w:ascii="Calibri" w:hAnsi="Calibri" w:cs="Calibri"/>
                </w:rPr>
              </w:sdtPr>
              <w:sdtContent>
                <w:r>
                  <w:rPr>
                    <w:rFonts w:ascii="Segoe UI Symbol" w:hAnsi="Segoe UI Symbol" w:eastAsia="MS Gothic" w:cs="Segoe UI Symbol"/>
                  </w:rPr>
                  <w:t xml:space="preserve">☐</w:t>
                </w:r>
              </w:sdtContent>
            </w:sdt>
            <w:r/>
            <w:r/>
          </w:p>
        </w:tc>
      </w:tr>
      <w:tr>
        <w:trPr>
          <w:jc w:val="center"/>
          <w:trHeight w:val="340"/>
        </w:trPr>
        <w:tc>
          <w:tcPr>
            <w:tcW w:w="1308" w:type="pct"/>
            <w:vAlign w:val="center"/>
            <w:textDirection w:val="lrTb"/>
            <w:noWrap w:val="false"/>
          </w:tcPr>
          <w:p>
            <w:pPr>
              <w:rPr>
                <w:rFonts w:ascii="Calibri" w:hAnsi="Calibri" w:cs="Calibri"/>
              </w:rPr>
            </w:pPr>
            <w:r>
              <w:rPr>
                <w:rFonts w:ascii="Calibri" w:hAnsi="Calibri" w:cs="Calibri"/>
              </w:rPr>
              <w:t xml:space="preserve">Porteur de projet</w:t>
            </w:r>
            <w:r/>
          </w:p>
        </w:tc>
        <w:tc>
          <w:tcPr>
            <w:tcW w:w="3692" w:type="pct"/>
            <w:vAlign w:val="center"/>
            <w:textDirection w:val="lrTb"/>
            <w:noWrap w:val="false"/>
          </w:tcPr>
          <w:p>
            <w:pPr>
              <w:rPr>
                <w:rFonts w:ascii="Calibri" w:hAnsi="Calibri" w:cs="Calibri"/>
              </w:rPr>
            </w:pPr>
            <w:r>
              <w:rPr>
                <w:rFonts w:ascii="Calibri" w:hAnsi="Calibri" w:cs="Calibri"/>
              </w:rPr>
            </w:r>
            <w:r/>
          </w:p>
        </w:tc>
      </w:tr>
      <w:tr>
        <w:trPr>
          <w:jc w:val="center"/>
          <w:trHeight w:val="340"/>
        </w:trPr>
        <w:tc>
          <w:tcPr>
            <w:tcW w:w="1308" w:type="pct"/>
            <w:vAlign w:val="center"/>
            <w:textDirection w:val="lrTb"/>
            <w:noWrap w:val="false"/>
          </w:tcPr>
          <w:p>
            <w:pPr>
              <w:rPr>
                <w:rFonts w:ascii="Calibri" w:hAnsi="Calibri" w:cs="Calibri"/>
              </w:rPr>
            </w:pPr>
            <w:r>
              <w:rPr>
                <w:rFonts w:ascii="Calibri" w:hAnsi="Calibri" w:cs="Calibri"/>
              </w:rPr>
              <w:t xml:space="preserve">Etablissement d’origine</w:t>
            </w:r>
            <w:r/>
          </w:p>
        </w:tc>
        <w:tc>
          <w:tcPr>
            <w:tcW w:w="3692" w:type="pct"/>
            <w:vAlign w:val="center"/>
            <w:textDirection w:val="lrTb"/>
            <w:noWrap w:val="false"/>
          </w:tcPr>
          <w:p>
            <w:pPr>
              <w:rPr>
                <w:rFonts w:ascii="Calibri" w:hAnsi="Calibri" w:cs="Calibri"/>
              </w:rPr>
            </w:pPr>
            <w:r>
              <w:rPr>
                <w:rFonts w:ascii="Calibri" w:hAnsi="Calibri" w:cs="Calibri"/>
              </w:rPr>
            </w:r>
            <w:r/>
          </w:p>
        </w:tc>
      </w:tr>
      <w:tr>
        <w:trPr>
          <w:jc w:val="center"/>
          <w:trHeight w:val="340"/>
        </w:trPr>
        <w:tc>
          <w:tcPr>
            <w:tcW w:w="1308" w:type="pct"/>
            <w:vAlign w:val="center"/>
            <w:textDirection w:val="lrTb"/>
            <w:noWrap w:val="false"/>
          </w:tcPr>
          <w:p>
            <w:pPr>
              <w:rPr>
                <w:rFonts w:ascii="Calibri" w:hAnsi="Calibri" w:cs="Calibri"/>
              </w:rPr>
            </w:pPr>
            <w:r>
              <w:rPr>
                <w:rFonts w:ascii="Calibri" w:hAnsi="Calibri" w:cs="Calibri"/>
              </w:rPr>
              <w:t xml:space="preserve">SATT impliquée </w:t>
            </w:r>
            <w:r/>
          </w:p>
        </w:tc>
        <w:tc>
          <w:tcPr>
            <w:tcW w:w="3692" w:type="pct"/>
            <w:vAlign w:val="center"/>
            <w:textDirection w:val="lrTb"/>
            <w:noWrap w:val="false"/>
          </w:tcPr>
          <w:p>
            <w:pPr>
              <w:jc w:val="center"/>
              <w:rPr>
                <w:rFonts w:ascii="Calibri" w:hAnsi="Calibri" w:cs="Calibri"/>
              </w:rPr>
            </w:pPr>
            <w:r>
              <w:rPr>
                <w:rFonts w:ascii="Calibri" w:hAnsi="Calibri" w:cs="Calibri"/>
              </w:rPr>
              <w:t xml:space="preserve">Oui </w:t>
            </w:r>
            <w:sdt>
              <w:sdtPr>
                <w15:appearance w15:val="boundingBox"/>
                <w:id w:val="1342736481"/>
                <w14:checkbox>
                  <w14:checked w14:val="0"/>
                  <w14:checkedState w14:val="2612" w14:font="MS Gothic"/>
                  <w14:uncheckedState w14:val="2610" w14:font="MS Gothic"/>
                </w14:checkbox>
                <w:rPr>
                  <w:rFonts w:ascii="Calibri" w:hAnsi="Calibri" w:cs="Calibri"/>
                </w:rPr>
              </w:sdtPr>
              <w:sdtContent>
                <w:r>
                  <w:rPr>
                    <w:rFonts w:ascii="Segoe UI Symbol" w:hAnsi="Segoe UI Symbol" w:eastAsia="MS Gothic" w:cs="Segoe UI Symbol"/>
                  </w:rPr>
                  <w:t xml:space="preserve">☐</w:t>
                </w:r>
              </w:sdtContent>
            </w:sdt>
            <w:r>
              <w:rPr>
                <w:rFonts w:ascii="Calibri" w:hAnsi="Calibri" w:cs="Calibri"/>
              </w:rPr>
              <w:tab/>
              <w:t xml:space="preserve">                                                                                          </w:t>
            </w:r>
            <w:r>
              <w:rPr>
                <w:rFonts w:ascii="Calibri" w:hAnsi="Calibri" w:cs="Calibri"/>
              </w:rPr>
              <w:tab/>
              <w:t xml:space="preserve">Non</w:t>
            </w:r>
            <w:sdt>
              <w:sdtPr>
                <w15:appearance w15:val="boundingBox"/>
                <w:id w:val="1304814308"/>
                <w14:checkbox>
                  <w14:checked w14:val="0"/>
                  <w14:checkedState w14:val="2612" w14:font="MS Gothic"/>
                  <w14:uncheckedState w14:val="2610" w14:font="MS Gothic"/>
                </w14:checkbox>
                <w:rPr>
                  <w:rFonts w:ascii="Calibri" w:hAnsi="Calibri" w:cs="Calibri"/>
                </w:rPr>
              </w:sdtPr>
              <w:sdtContent>
                <w:r>
                  <w:rPr>
                    <w:rFonts w:ascii="Segoe UI Symbol" w:hAnsi="Segoe UI Symbol" w:eastAsia="MS Gothic" w:cs="Segoe UI Symbol"/>
                  </w:rPr>
                  <w:t xml:space="preserve">☐</w:t>
                </w:r>
              </w:sdtContent>
            </w:sdt>
            <w:r/>
            <w:r/>
          </w:p>
        </w:tc>
      </w:tr>
      <w:tr>
        <w:trPr>
          <w:jc w:val="center"/>
          <w:trHeight w:val="340"/>
        </w:trPr>
        <w:tc>
          <w:tcPr>
            <w:tcW w:w="1308" w:type="pct"/>
            <w:vAlign w:val="center"/>
            <w:textDirection w:val="lrTb"/>
            <w:noWrap w:val="false"/>
          </w:tcPr>
          <w:p>
            <w:pPr>
              <w:rPr>
                <w:rFonts w:ascii="Calibri" w:hAnsi="Calibri" w:cs="Calibri"/>
              </w:rPr>
            </w:pPr>
            <w:r>
              <w:rPr>
                <w:rFonts w:ascii="Calibri" w:hAnsi="Calibri" w:cs="Calibri"/>
              </w:rPr>
              <w:t xml:space="preserve">Partenaire(s) potentiel(s) de </w:t>
            </w:r>
            <w:r>
              <w:rPr>
                <w:rFonts w:ascii="Calibri" w:hAnsi="Calibri" w:cs="Calibri"/>
              </w:rPr>
              <w:t xml:space="preserve">comaturation</w:t>
            </w:r>
            <w:r/>
          </w:p>
        </w:tc>
        <w:tc>
          <w:tcPr>
            <w:tcW w:w="3692" w:type="pct"/>
            <w:vAlign w:val="center"/>
            <w:textDirection w:val="lrTb"/>
            <w:noWrap w:val="false"/>
          </w:tcPr>
          <w:p>
            <w:pPr>
              <w:rPr>
                <w:rFonts w:ascii="Calibri" w:hAnsi="Calibri" w:cs="Calibri"/>
              </w:rPr>
            </w:pPr>
            <w:r>
              <w:rPr>
                <w:rFonts w:ascii="Calibri" w:hAnsi="Calibri" w:cs="Calibri"/>
              </w:rPr>
            </w:r>
            <w:r/>
          </w:p>
        </w:tc>
      </w:tr>
      <w:tr>
        <w:trPr>
          <w:jc w:val="center"/>
          <w:trHeight w:val="340"/>
        </w:trPr>
        <w:tc>
          <w:tcPr>
            <w:tcW w:w="1308" w:type="pct"/>
            <w:vAlign w:val="center"/>
            <w:textDirection w:val="lrTb"/>
            <w:noWrap w:val="false"/>
          </w:tcPr>
          <w:p>
            <w:pPr>
              <w:rPr>
                <w:rFonts w:ascii="Calibri" w:hAnsi="Calibri" w:cs="Calibri"/>
              </w:rPr>
            </w:pPr>
            <w:r>
              <w:rPr>
                <w:rFonts w:ascii="Calibri" w:hAnsi="Calibri" w:cs="Calibri"/>
              </w:rPr>
              <w:t xml:space="preserve">Financement(s) déjà perçu(s) – préciser le(s) montant(s) et l’année</w:t>
            </w:r>
            <w:r/>
          </w:p>
        </w:tc>
        <w:tc>
          <w:tcPr>
            <w:tcW w:w="3692" w:type="pct"/>
            <w:vAlign w:val="center"/>
            <w:textDirection w:val="lrTb"/>
            <w:noWrap w:val="false"/>
          </w:tcPr>
          <w:p>
            <w:pPr>
              <w:rPr>
                <w:rFonts w:ascii="Calibri" w:hAnsi="Calibri" w:cs="Calibri"/>
              </w:rPr>
            </w:pPr>
            <w:r>
              <w:rPr>
                <w:rFonts w:ascii="Calibri" w:hAnsi="Calibri" w:cs="Calibri"/>
              </w:rPr>
            </w:r>
            <w:r/>
          </w:p>
        </w:tc>
      </w:tr>
      <w:tr>
        <w:trPr>
          <w:jc w:val="center"/>
          <w:trHeight w:val="340"/>
        </w:trPr>
        <w:tc>
          <w:tcPr>
            <w:tcW w:w="1308" w:type="pct"/>
            <w:vAlign w:val="center"/>
            <w:textDirection w:val="lrTb"/>
            <w:noWrap w:val="false"/>
          </w:tcPr>
          <w:p>
            <w:pPr>
              <w:rPr>
                <w:rFonts w:ascii="Calibri" w:hAnsi="Calibri" w:cs="Calibri"/>
              </w:rPr>
            </w:pPr>
            <w:r>
              <w:rPr>
                <w:rFonts w:ascii="Calibri" w:hAnsi="Calibri" w:cs="Calibri"/>
              </w:rPr>
              <w:t xml:space="preserve">Date de passage en comité</w:t>
            </w:r>
            <w:r/>
          </w:p>
        </w:tc>
        <w:tc>
          <w:tcPr>
            <w:tcW w:w="3692" w:type="pct"/>
            <w:vAlign w:val="center"/>
            <w:textDirection w:val="lrTb"/>
            <w:noWrap w:val="false"/>
          </w:tcPr>
          <w:p>
            <w:pPr>
              <w:rPr>
                <w:rFonts w:ascii="Calibri" w:hAnsi="Calibri" w:cs="Calibri"/>
              </w:rPr>
            </w:pPr>
            <w:r>
              <w:rPr>
                <w:rFonts w:ascii="Calibri" w:hAnsi="Calibri" w:cs="Calibri"/>
              </w:rPr>
            </w:r>
            <w:r/>
          </w:p>
        </w:tc>
      </w:tr>
    </w:tbl>
    <w:p>
      <w:pPr>
        <w:pStyle w:val="753"/>
      </w:pPr>
      <w:r>
        <w:t xml:space="preserve">Résumé du projet (une demi-page)</w:t>
      </w:r>
      <w:r/>
    </w:p>
    <w:p>
      <w:r/>
      <w:r/>
    </w:p>
    <w:p>
      <w:r/>
      <w:r/>
    </w:p>
    <w:p>
      <w:r/>
      <w:r/>
    </w:p>
    <w:p>
      <w:r/>
      <w:r/>
    </w:p>
    <w:p>
      <w:r/>
      <w:r/>
    </w:p>
    <w:p>
      <w:r/>
      <w:r/>
    </w:p>
    <w:p>
      <w:r/>
      <w:r/>
    </w:p>
    <w:p>
      <w:r/>
      <w:r/>
    </w:p>
    <w:p>
      <w:r/>
      <w:r/>
    </w:p>
    <w:p>
      <w:r/>
      <w:r/>
    </w:p>
    <w:p>
      <w:pPr>
        <w:rPr>
          <w:rFonts w:asciiTheme="majorHAnsi" w:hAnsiTheme="majorHAnsi" w:eastAsiaTheme="majorEastAsia" w:cstheme="majorBidi"/>
          <w:b/>
          <w:color w:val="2e74b5" w:themeColor="accent1" w:themeShade="BF"/>
          <w:sz w:val="28"/>
          <w:szCs w:val="32"/>
        </w:rPr>
      </w:pPr>
      <w:r>
        <w:br w:type="page" w:clear="all"/>
      </w:r>
      <w:r/>
    </w:p>
    <w:p>
      <w:pPr>
        <w:pStyle w:val="753"/>
      </w:pPr>
      <w:r>
        <w:t xml:space="preserve">Description du projet (3-4 pages). </w:t>
      </w:r>
      <w:r/>
    </w:p>
    <w:p>
      <w:pPr>
        <w:pStyle w:val="944"/>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Décrire le concept clef qui sous-tend l’innovation proposée en termes d’usages, de fonctions, de produits ou de services potentiels à la société et par rapport aux enjeux de la SNA escomptés : Mettre en évidence l’adéquation du projet avec </w:t>
      </w:r>
      <w:r>
        <w:rPr>
          <w:rFonts w:asciiTheme="majorHAnsi" w:hAnsiTheme="majorHAnsi" w:cstheme="majorHAnsi"/>
          <w:i/>
          <w:iCs/>
          <w:sz w:val="20"/>
          <w:szCs w:val="20"/>
        </w:rPr>
        <w:t xml:space="preserve">les enjeux de la SNA, les ODD et la taxonomie verte</w:t>
      </w:r>
      <w:r>
        <w:rPr>
          <w:rFonts w:asciiTheme="majorHAnsi" w:hAnsiTheme="majorHAnsi" w:cstheme="majorHAnsi"/>
          <w:i/>
          <w:iCs/>
          <w:sz w:val="20"/>
          <w:szCs w:val="20"/>
        </w:rPr>
        <w:t xml:space="preserve"> européenne</w:t>
      </w:r>
      <w:r>
        <w:rPr>
          <w:rFonts w:asciiTheme="majorHAnsi" w:hAnsiTheme="majorHAnsi" w:cstheme="majorHAnsi"/>
          <w:i/>
          <w:iCs/>
          <w:sz w:val="20"/>
          <w:szCs w:val="20"/>
        </w:rPr>
        <w:t xml:space="preserve">.</w:t>
      </w:r>
      <w:r>
        <w:rPr>
          <w:rFonts w:asciiTheme="majorHAnsi" w:hAnsiTheme="majorHAnsi" w:cstheme="majorHAnsi"/>
          <w:i/>
          <w:iCs/>
          <w:sz w:val="20"/>
          <w:szCs w:val="20"/>
        </w:rPr>
        <w:t xml:space="preserve"> </w:t>
      </w:r>
      <w:r>
        <w:rPr>
          <w:rFonts w:asciiTheme="majorHAnsi" w:hAnsiTheme="majorHAnsi" w:cstheme="majorHAnsi"/>
          <w:i/>
          <w:iCs/>
          <w:sz w:val="20"/>
          <w:szCs w:val="20"/>
        </w:rPr>
        <w:t xml:space="preserve">Si possible, ébaucher l’impact potentiel des innovations. </w:t>
      </w:r>
      <w:r>
        <w:rPr>
          <w:rFonts w:asciiTheme="majorHAnsi" w:hAnsiTheme="majorHAnsi" w:cstheme="majorHAnsi"/>
          <w:i/>
          <w:iCs/>
          <w:sz w:val="20"/>
          <w:szCs w:val="20"/>
        </w:rPr>
        <w:t xml:space="preserve">Les référentiels sur les SNA, ODD et taxonomie verte européenne sont en annexe de ce dossier</w:t>
      </w:r>
      <w:r>
        <w:rPr>
          <w:rFonts w:asciiTheme="majorHAnsi" w:hAnsiTheme="majorHAnsi" w:cstheme="majorHAnsi"/>
          <w:i/>
          <w:iCs/>
          <w:sz w:val="20"/>
          <w:szCs w:val="20"/>
        </w:rPr>
        <w:t xml:space="preserve">.</w:t>
      </w:r>
      <w:r/>
    </w:p>
    <w:p>
      <w:pPr>
        <w:pStyle w:val="944"/>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Expliciter le caractère innovant et l’originalité du projet par rapport à l’existant,</w:t>
      </w:r>
      <w:r>
        <w:rPr>
          <w:rFonts w:asciiTheme="majorHAnsi" w:hAnsiTheme="majorHAnsi" w:cstheme="majorHAnsi"/>
          <w:i/>
          <w:iCs/>
          <w:sz w:val="20"/>
          <w:szCs w:val="20"/>
        </w:rPr>
        <w:t xml:space="preserve"> le positionnement </w:t>
      </w:r>
      <w:r>
        <w:rPr>
          <w:rFonts w:asciiTheme="majorHAnsi" w:hAnsiTheme="majorHAnsi" w:cstheme="majorHAnsi"/>
          <w:i/>
          <w:iCs/>
          <w:sz w:val="20"/>
          <w:szCs w:val="20"/>
        </w:rPr>
        <w:t xml:space="preserve">dans le</w:t>
      </w:r>
      <w:r>
        <w:rPr>
          <w:rFonts w:asciiTheme="majorHAnsi" w:hAnsiTheme="majorHAnsi" w:cstheme="majorHAnsi"/>
          <w:i/>
          <w:iCs/>
          <w:sz w:val="20"/>
          <w:szCs w:val="20"/>
        </w:rPr>
        <w:t xml:space="preserve"> secteur d’application.</w:t>
      </w:r>
      <w:r/>
    </w:p>
    <w:p>
      <w:pPr>
        <w:pStyle w:val="944"/>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Faire une analyse de la proposition de valeur : différenciation de la solution proposée par rapport à l’existant, connaissance du besoin du marché, temps d’accès au marché, etc.</w:t>
      </w:r>
      <w:r/>
    </w:p>
    <w:p>
      <w:pPr>
        <w:pStyle w:val="944"/>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Décrire brièvement (1 page max) sur quels résultats scientifiques il s’appuie, lister les éventuels projets collaboratifs à l’origine de ces résultats scientifiques, joindre les articles et présentations des résultats obtenus, s’ils s’existent.</w:t>
      </w:r>
      <w:r/>
    </w:p>
    <w:p>
      <w:pPr>
        <w:pStyle w:val="944"/>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Mettre en </w:t>
      </w:r>
      <w:r>
        <w:rPr>
          <w:rFonts w:asciiTheme="majorHAnsi" w:hAnsiTheme="majorHAnsi" w:cstheme="majorHAnsi"/>
          <w:i/>
          <w:iCs/>
          <w:sz w:val="20"/>
          <w:szCs w:val="20"/>
        </w:rPr>
        <w:t xml:space="preserve">évidence les verrous techniques/technologiques à lever, les limites des solutions existantes, la feuille de route pour atteindre le niveau </w:t>
      </w:r>
      <w:r>
        <w:rPr>
          <w:rFonts w:asciiTheme="majorHAnsi" w:hAnsiTheme="majorHAnsi" w:cstheme="majorHAnsi"/>
          <w:i/>
          <w:iCs/>
          <w:sz w:val="20"/>
          <w:szCs w:val="20"/>
        </w:rPr>
        <w:t xml:space="preserve">d’un </w:t>
      </w:r>
      <w:r>
        <w:rPr>
          <w:rFonts w:asciiTheme="majorHAnsi" w:hAnsiTheme="majorHAnsi" w:cstheme="majorHAnsi"/>
          <w:i/>
          <w:iCs/>
          <w:sz w:val="20"/>
          <w:szCs w:val="20"/>
        </w:rPr>
        <w:t xml:space="preserve">preuve</w:t>
      </w:r>
      <w:r>
        <w:rPr>
          <w:rFonts w:asciiTheme="majorHAnsi" w:hAnsiTheme="majorHAnsi" w:cstheme="majorHAnsi"/>
          <w:i/>
          <w:iCs/>
          <w:sz w:val="20"/>
          <w:szCs w:val="20"/>
        </w:rPr>
        <w:t xml:space="preserve"> de concept (</w:t>
      </w:r>
      <w:r>
        <w:rPr>
          <w:rFonts w:asciiTheme="majorHAnsi" w:hAnsiTheme="majorHAnsi" w:cstheme="majorHAnsi"/>
          <w:i/>
          <w:iCs/>
          <w:sz w:val="20"/>
          <w:szCs w:val="20"/>
        </w:rPr>
        <w:t xml:space="preserve">PoC</w:t>
      </w:r>
      <w:r>
        <w:rPr>
          <w:rFonts w:asciiTheme="majorHAnsi" w:hAnsiTheme="majorHAnsi" w:cstheme="majorHAnsi"/>
          <w:i/>
          <w:iCs/>
          <w:sz w:val="20"/>
          <w:szCs w:val="20"/>
        </w:rPr>
        <w:t xml:space="preserve">)</w:t>
      </w:r>
      <w:r>
        <w:rPr>
          <w:rFonts w:asciiTheme="majorHAnsi" w:hAnsiTheme="majorHAnsi" w:cstheme="majorHAnsi"/>
          <w:i/>
          <w:iCs/>
          <w:sz w:val="20"/>
          <w:szCs w:val="20"/>
        </w:rPr>
        <w:t xml:space="preserve"> en laboratoire. Décrire les performances attendues.</w:t>
      </w:r>
      <w:r/>
    </w:p>
    <w:p>
      <w:pPr>
        <w:pStyle w:val="944"/>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Décrire, le cas échéant, le partenariat envisagé ou </w:t>
      </w:r>
      <w:r>
        <w:rPr>
          <w:rFonts w:asciiTheme="majorHAnsi" w:hAnsiTheme="majorHAnsi" w:cstheme="majorHAnsi"/>
          <w:i/>
          <w:iCs/>
          <w:sz w:val="20"/>
          <w:szCs w:val="20"/>
        </w:rPr>
        <w:t xml:space="preserve">pré-</w:t>
      </w:r>
      <w:r>
        <w:rPr>
          <w:rFonts w:asciiTheme="majorHAnsi" w:hAnsiTheme="majorHAnsi" w:cstheme="majorHAnsi"/>
          <w:i/>
          <w:iCs/>
          <w:sz w:val="20"/>
          <w:szCs w:val="20"/>
        </w:rPr>
        <w:t xml:space="preserve">existant</w:t>
      </w:r>
      <w:r>
        <w:rPr>
          <w:rFonts w:asciiTheme="majorHAnsi" w:hAnsiTheme="majorHAnsi" w:cstheme="majorHAnsi"/>
          <w:i/>
          <w:iCs/>
          <w:sz w:val="20"/>
          <w:szCs w:val="20"/>
        </w:rPr>
        <w:t xml:space="preserve">, y compris et surtout en cas de partenariat avec un industriel, ainsi que le rôle de chacun. </w:t>
      </w:r>
      <w:r/>
    </w:p>
    <w:p>
      <w:r/>
      <w:r/>
    </w:p>
    <w:p>
      <w:r/>
      <w:r/>
    </w:p>
    <w:p>
      <w:r>
        <w:br w:type="page" w:clear="all"/>
      </w:r>
      <w:r/>
    </w:p>
    <w:p>
      <w:pPr>
        <w:pStyle w:val="753"/>
      </w:pPr>
      <w:r>
        <w:t xml:space="preserve">Travaux à réaliser (1 page max)</w:t>
      </w:r>
      <w:r/>
    </w:p>
    <w:p>
      <w:pPr>
        <w:pStyle w:val="944"/>
        <w:numPr>
          <w:ilvl w:val="0"/>
          <w:numId w:val="15"/>
        </w:numPr>
        <w:ind w:left="360"/>
        <w:rPr>
          <w:rFonts w:asciiTheme="majorHAnsi" w:hAnsiTheme="majorHAnsi" w:cstheme="majorHAnsi"/>
          <w:i/>
          <w:iCs/>
          <w:sz w:val="20"/>
          <w:szCs w:val="20"/>
        </w:rPr>
      </w:pPr>
      <w:r>
        <w:rPr>
          <w:rFonts w:asciiTheme="majorHAnsi" w:hAnsiTheme="majorHAnsi" w:cstheme="majorHAnsi"/>
          <w:i/>
          <w:iCs/>
        </w:rPr>
        <w:t xml:space="preserve">Détailler les </w:t>
      </w:r>
      <w:r>
        <w:rPr>
          <w:rFonts w:asciiTheme="majorHAnsi" w:hAnsiTheme="majorHAnsi" w:cstheme="majorHAnsi"/>
          <w:b/>
          <w:i/>
          <w:iCs/>
        </w:rPr>
        <w:t xml:space="preserve">travaux à réaliser</w:t>
      </w:r>
      <w:r>
        <w:rPr>
          <w:rFonts w:asciiTheme="majorHAnsi" w:hAnsiTheme="majorHAnsi" w:cstheme="majorHAnsi"/>
          <w:i/>
          <w:iCs/>
        </w:rPr>
        <w:t xml:space="preserve"> afin d’arriver à la démonstration de faisabilité. </w:t>
      </w:r>
      <w:r>
        <w:rPr>
          <w:rFonts w:asciiTheme="majorHAnsi" w:hAnsiTheme="majorHAnsi" w:cstheme="majorHAnsi"/>
          <w:i/>
          <w:iCs/>
          <w:sz w:val="20"/>
          <w:szCs w:val="20"/>
        </w:rPr>
        <w:t xml:space="preserve">Le niveau de maturation technologique se réfère à l’échelle TRL (Technologie </w:t>
      </w:r>
      <w:r>
        <w:rPr>
          <w:rFonts w:asciiTheme="majorHAnsi" w:hAnsiTheme="majorHAnsi" w:cstheme="majorHAnsi"/>
          <w:i/>
          <w:iCs/>
          <w:sz w:val="20"/>
          <w:szCs w:val="20"/>
        </w:rPr>
        <w:t xml:space="preserve">Readiness</w:t>
      </w:r>
      <w:r>
        <w:rPr>
          <w:rFonts w:asciiTheme="majorHAnsi" w:hAnsiTheme="majorHAnsi" w:cstheme="majorHAnsi"/>
          <w:i/>
          <w:iCs/>
          <w:sz w:val="20"/>
          <w:szCs w:val="20"/>
        </w:rPr>
        <w:t xml:space="preserve"> </w:t>
      </w:r>
      <w:r>
        <w:rPr>
          <w:rFonts w:asciiTheme="majorHAnsi" w:hAnsiTheme="majorHAnsi" w:cstheme="majorHAnsi"/>
          <w:i/>
          <w:iCs/>
          <w:sz w:val="20"/>
          <w:szCs w:val="20"/>
        </w:rPr>
        <w:t xml:space="preserve">Level</w:t>
      </w:r>
      <w:r>
        <w:rPr>
          <w:rFonts w:asciiTheme="majorHAnsi" w:hAnsiTheme="majorHAnsi" w:cstheme="majorHAnsi"/>
          <w:i/>
          <w:iCs/>
          <w:sz w:val="20"/>
          <w:szCs w:val="20"/>
        </w:rPr>
        <w:t xml:space="preserve">)</w:t>
      </w:r>
      <w:r>
        <w:rPr>
          <w:rFonts w:asciiTheme="majorHAnsi" w:hAnsiTheme="majorHAnsi" w:cstheme="majorHAnsi"/>
          <w:i/>
          <w:iCs/>
          <w:sz w:val="20"/>
          <w:szCs w:val="20"/>
        </w:rPr>
        <w:t xml:space="preserve"> présentée</w:t>
      </w:r>
      <w:r>
        <w:rPr>
          <w:rFonts w:asciiTheme="majorHAnsi" w:hAnsiTheme="majorHAnsi" w:cstheme="majorHAnsi"/>
          <w:i/>
          <w:iCs/>
          <w:sz w:val="20"/>
          <w:szCs w:val="20"/>
        </w:rPr>
        <w:t xml:space="preserve"> en </w:t>
      </w:r>
      <w:r>
        <w:rPr>
          <w:rFonts w:asciiTheme="majorHAnsi" w:hAnsiTheme="majorHAnsi" w:cstheme="majorHAnsi"/>
          <w:i/>
          <w:iCs/>
          <w:sz w:val="20"/>
          <w:szCs w:val="20"/>
        </w:rPr>
        <w:t xml:space="preserve">a</w:t>
      </w:r>
      <w:r>
        <w:rPr>
          <w:rFonts w:asciiTheme="majorHAnsi" w:hAnsiTheme="majorHAnsi" w:cstheme="majorHAnsi"/>
          <w:i/>
          <w:iCs/>
          <w:sz w:val="20"/>
          <w:szCs w:val="20"/>
        </w:rPr>
        <w:t xml:space="preserve">nnexe.</w:t>
      </w:r>
      <w:r/>
    </w:p>
    <w:p>
      <w:pPr>
        <w:pStyle w:val="944"/>
        <w:numPr>
          <w:ilvl w:val="0"/>
          <w:numId w:val="15"/>
        </w:numPr>
        <w:ind w:left="360"/>
        <w:rPr>
          <w:rFonts w:asciiTheme="majorHAnsi" w:hAnsiTheme="majorHAnsi" w:cstheme="majorHAnsi"/>
          <w:i/>
          <w:iCs/>
        </w:rPr>
      </w:pPr>
      <w:r>
        <w:rPr>
          <w:rFonts w:asciiTheme="majorHAnsi" w:hAnsiTheme="majorHAnsi" w:cstheme="majorHAnsi"/>
          <w:i/>
          <w:iCs/>
        </w:rPr>
        <w:t xml:space="preserve">Ebaucher un plan de valorisation de la propriété intellectuelle engendrée par le projet, notamment </w:t>
      </w:r>
      <w:r>
        <w:rPr>
          <w:rFonts w:asciiTheme="majorHAnsi" w:hAnsiTheme="majorHAnsi" w:cstheme="majorHAnsi"/>
          <w:i/>
          <w:iCs/>
        </w:rPr>
        <w:t xml:space="preserve">la  protection</w:t>
      </w:r>
      <w:r>
        <w:rPr>
          <w:rFonts w:asciiTheme="majorHAnsi" w:hAnsiTheme="majorHAnsi" w:cstheme="majorHAnsi"/>
          <w:i/>
          <w:iCs/>
        </w:rPr>
        <w:t xml:space="preserve"> à envisager.</w:t>
      </w:r>
      <w:r/>
    </w:p>
    <w:p>
      <w:pPr>
        <w:pStyle w:val="944"/>
        <w:numPr>
          <w:ilvl w:val="0"/>
          <w:numId w:val="15"/>
        </w:numPr>
        <w:ind w:left="360"/>
        <w:rPr>
          <w:rFonts w:asciiTheme="majorHAnsi" w:hAnsiTheme="majorHAnsi" w:cstheme="majorHAnsi"/>
          <w:i/>
          <w:iCs/>
        </w:rPr>
      </w:pPr>
      <w:r>
        <w:rPr>
          <w:rFonts w:asciiTheme="majorHAnsi" w:hAnsiTheme="majorHAnsi" w:cstheme="majorHAnsi"/>
          <w:i/>
          <w:iCs/>
        </w:rPr>
        <w:t xml:space="preserve">Préciser la contribution</w:t>
      </w:r>
      <w:r>
        <w:rPr>
          <w:rFonts w:asciiTheme="majorHAnsi" w:hAnsiTheme="majorHAnsi" w:cstheme="majorHAnsi"/>
          <w:i/>
          <w:iCs/>
        </w:rPr>
        <w:t xml:space="preserve"> de chaque partenaire académique et/ou socio-économique. </w:t>
      </w:r>
      <w:r/>
    </w:p>
    <w:p>
      <w:r/>
      <w:r/>
    </w:p>
    <w:p>
      <w:r>
        <w:br w:type="page" w:clear="all"/>
      </w:r>
      <w:r/>
    </w:p>
    <w:p>
      <w:pPr>
        <w:pStyle w:val="753"/>
      </w:pPr>
      <w:r>
        <w:t xml:space="preserve">Jalons du projet</w:t>
      </w:r>
      <w:r/>
    </w:p>
    <w:p>
      <w:pPr>
        <w:pStyle w:val="944"/>
        <w:numPr>
          <w:ilvl w:val="0"/>
          <w:numId w:val="18"/>
        </w:numPr>
        <w:ind w:left="360"/>
        <w:rPr>
          <w:rFonts w:asciiTheme="majorHAnsi" w:hAnsiTheme="majorHAnsi" w:cstheme="majorHAnsi"/>
          <w:i/>
          <w:iCs/>
        </w:rPr>
      </w:pPr>
      <w:r>
        <w:rPr>
          <w:rFonts w:asciiTheme="majorHAnsi" w:hAnsiTheme="majorHAnsi" w:cstheme="majorHAnsi"/>
          <w:i/>
          <w:iCs/>
        </w:rPr>
        <w:t xml:space="preserve">Compléter le tableau pour indiquer l’enchainement des grandes étapes du projet (jalons) menant à la preuve de concept (sur 12 à 24 mois), les livrables attendus, les besoins de f</w:t>
      </w:r>
      <w:r>
        <w:rPr>
          <w:rFonts w:asciiTheme="majorHAnsi" w:hAnsiTheme="majorHAnsi" w:cstheme="majorHAnsi"/>
          <w:i/>
          <w:iCs/>
        </w:rPr>
        <w:t xml:space="preserve">inancement du projet et la durée prévisionnelle</w:t>
      </w:r>
      <w:r/>
    </w:p>
    <w:p>
      <w:pPr>
        <w:pStyle w:val="944"/>
        <w:numPr>
          <w:ilvl w:val="0"/>
          <w:numId w:val="18"/>
        </w:numPr>
        <w:ind w:left="360"/>
        <w:rPr>
          <w:rFonts w:asciiTheme="majorHAnsi" w:hAnsiTheme="majorHAnsi" w:cstheme="majorHAnsi"/>
          <w:i/>
          <w:iCs/>
        </w:rPr>
      </w:pPr>
      <w:r>
        <w:rPr>
          <w:rFonts w:asciiTheme="majorHAnsi" w:hAnsiTheme="majorHAnsi" w:cstheme="majorHAnsi"/>
          <w:i/>
          <w:iCs/>
        </w:rPr>
        <w:t xml:space="preserve">Mettre en évidence l’adéquation entre les objectifs de livrables, les ressources et le timing</w:t>
      </w:r>
      <w:r/>
    </w:p>
    <w:tbl>
      <w:tblPr>
        <w:tblStyle w:val="942"/>
        <w:tblW w:w="5000" w:type="pct"/>
        <w:tblLook w:val="04A0" w:firstRow="1" w:lastRow="0" w:firstColumn="1" w:lastColumn="0" w:noHBand="0" w:noVBand="1"/>
      </w:tblPr>
      <w:tblGrid>
        <w:gridCol w:w="1965"/>
        <w:gridCol w:w="1587"/>
        <w:gridCol w:w="1548"/>
        <w:gridCol w:w="1883"/>
        <w:gridCol w:w="1546"/>
        <w:gridCol w:w="1207"/>
      </w:tblGrid>
      <w:tr>
        <w:trPr/>
        <w:tc>
          <w:tcPr>
            <w:tcW w:w="1009" w:type="pct"/>
            <w:textDirection w:val="lrTb"/>
            <w:noWrap w:val="false"/>
          </w:tcPr>
          <w:p>
            <w:pPr>
              <w:jc w:val="center"/>
              <w:rPr>
                <w:rFonts w:asciiTheme="minorHAnsi" w:hAnsiTheme="minorHAnsi" w:cstheme="minorHAnsi"/>
              </w:rPr>
            </w:pPr>
            <w:r>
              <w:rPr>
                <w:rFonts w:asciiTheme="minorHAnsi" w:hAnsiTheme="minorHAnsi" w:cstheme="minorHAnsi"/>
              </w:rPr>
              <w:t xml:space="preserve">Etapes/Jalons</w:t>
            </w:r>
            <w:r/>
          </w:p>
        </w:tc>
        <w:tc>
          <w:tcPr>
            <w:shd w:val="clear" w:color="auto" w:fill="9cc2e5" w:themeFill="accent1" w:themeFillTint="99"/>
            <w:tcW w:w="815" w:type="pct"/>
            <w:textDirection w:val="lrTb"/>
            <w:noWrap w:val="false"/>
          </w:tcPr>
          <w:p>
            <w:pPr>
              <w:jc w:val="center"/>
              <w:rPr>
                <w:rFonts w:asciiTheme="minorHAnsi" w:hAnsiTheme="minorHAnsi" w:cstheme="minorHAnsi"/>
              </w:rPr>
            </w:pPr>
            <w:r>
              <w:rPr>
                <w:rFonts w:asciiTheme="minorHAnsi" w:hAnsiTheme="minorHAnsi" w:cstheme="minorHAnsi"/>
              </w:rPr>
              <w:t xml:space="preserve">Livrables</w:t>
            </w:r>
            <w:r/>
          </w:p>
        </w:tc>
        <w:tc>
          <w:tcPr>
            <w:shd w:val="clear" w:color="auto" w:fill="9cc2e5" w:themeFill="accent1" w:themeFillTint="99"/>
            <w:tcW w:w="795" w:type="pct"/>
            <w:textDirection w:val="lrTb"/>
            <w:noWrap w:val="false"/>
          </w:tcPr>
          <w:p>
            <w:pPr>
              <w:jc w:val="center"/>
              <w:rPr>
                <w:rFonts w:cstheme="minorHAnsi"/>
              </w:rPr>
            </w:pPr>
            <w:r>
              <w:rPr>
                <w:rFonts w:asciiTheme="minorHAnsi" w:hAnsiTheme="minorHAnsi" w:cstheme="minorHAnsi"/>
              </w:rPr>
              <w:t xml:space="preserve">Besoins en ressources humaines (salaires bruts chargés)</w:t>
            </w:r>
            <w:r/>
          </w:p>
        </w:tc>
        <w:tc>
          <w:tcPr>
            <w:shd w:val="clear" w:color="auto" w:fill="9cc2e5" w:themeFill="accent1" w:themeFillTint="99"/>
            <w:tcW w:w="967" w:type="pct"/>
            <w:textDirection w:val="lrTb"/>
            <w:noWrap w:val="false"/>
          </w:tcPr>
          <w:p>
            <w:pPr>
              <w:jc w:val="center"/>
              <w:rPr>
                <w:rFonts w:asciiTheme="minorHAnsi" w:hAnsiTheme="minorHAnsi" w:cstheme="minorHAnsi"/>
              </w:rPr>
            </w:pPr>
            <w:r>
              <w:rPr>
                <w:rFonts w:asciiTheme="minorHAnsi" w:hAnsiTheme="minorHAnsi" w:cstheme="minorHAnsi"/>
              </w:rPr>
              <w:t xml:space="preserve">Prestations externes (Ex. prototyp</w:t>
            </w:r>
            <w:r>
              <w:rPr>
                <w:rFonts w:asciiTheme="minorHAnsi" w:hAnsiTheme="minorHAnsi" w:cstheme="minorHAnsi"/>
              </w:rPr>
              <w:t xml:space="preserve">age, étude de marché, etc.)</w:t>
            </w:r>
            <w:r/>
          </w:p>
        </w:tc>
        <w:tc>
          <w:tcPr>
            <w:shd w:val="clear" w:color="auto" w:fill="9cc2e5" w:themeFill="accent1" w:themeFillTint="99"/>
            <w:tcW w:w="794" w:type="pct"/>
            <w:textDirection w:val="lrTb"/>
            <w:noWrap w:val="false"/>
          </w:tcPr>
          <w:p>
            <w:pPr>
              <w:jc w:val="center"/>
              <w:rPr>
                <w:rFonts w:cstheme="minorHAnsi"/>
              </w:rPr>
            </w:pPr>
            <w:r>
              <w:rPr>
                <w:rFonts w:asciiTheme="minorHAnsi" w:hAnsiTheme="minorHAnsi" w:cstheme="minorHAnsi"/>
              </w:rPr>
              <w:t xml:space="preserve">Besoins en consommables (matériels, etc.)</w:t>
            </w:r>
            <w:r/>
          </w:p>
        </w:tc>
        <w:tc>
          <w:tcPr>
            <w:shd w:val="clear" w:color="auto" w:fill="9cc2e5" w:themeFill="accent1" w:themeFillTint="99"/>
            <w:tcW w:w="620" w:type="pct"/>
            <w:textDirection w:val="lrTb"/>
            <w:noWrap w:val="false"/>
          </w:tcPr>
          <w:p>
            <w:pPr>
              <w:jc w:val="center"/>
              <w:rPr>
                <w:rFonts w:cstheme="minorHAnsi"/>
              </w:rPr>
            </w:pPr>
            <w:r>
              <w:rPr>
                <w:rFonts w:asciiTheme="minorHAnsi" w:hAnsiTheme="minorHAnsi" w:cstheme="minorHAnsi"/>
              </w:rPr>
              <w:t xml:space="preserve">Durée</w:t>
            </w:r>
            <w:r/>
          </w:p>
        </w:tc>
      </w:tr>
      <w:tr>
        <w:trPr/>
        <w:tc>
          <w:tcPr>
            <w:tcW w:w="1009" w:type="pct"/>
            <w:textDirection w:val="lrTb"/>
            <w:noWrap w:val="false"/>
          </w:tcPr>
          <w:p>
            <w:pPr>
              <w:jc w:val="center"/>
              <w:rPr>
                <w:rFonts w:asciiTheme="minorHAnsi" w:hAnsiTheme="minorHAnsi" w:cstheme="minorHAnsi"/>
              </w:rPr>
            </w:pPr>
            <w:r>
              <w:rPr>
                <w:rFonts w:asciiTheme="minorHAnsi" w:hAnsiTheme="minorHAnsi" w:cstheme="minorHAnsi"/>
              </w:rPr>
              <w:t xml:space="preserve">Etape 1</w:t>
            </w:r>
            <w:r/>
          </w:p>
        </w:tc>
        <w:tc>
          <w:tcPr>
            <w:tcW w:w="815"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795"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967"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794" w:type="pct"/>
            <w:textDirection w:val="lrTb"/>
            <w:noWrap w:val="false"/>
          </w:tcPr>
          <w:p>
            <w:pPr>
              <w:jc w:val="center"/>
              <w:rPr>
                <w:rFonts w:cstheme="minorHAnsi"/>
              </w:rPr>
            </w:pPr>
            <w:r>
              <w:rPr>
                <w:rFonts w:cstheme="minorHAnsi"/>
              </w:rPr>
            </w:r>
            <w:r/>
          </w:p>
        </w:tc>
        <w:tc>
          <w:tcPr>
            <w:tcW w:w="620" w:type="pct"/>
            <w:textDirection w:val="lrTb"/>
            <w:noWrap w:val="false"/>
          </w:tcPr>
          <w:p>
            <w:pPr>
              <w:jc w:val="center"/>
              <w:rPr>
                <w:rFonts w:asciiTheme="minorHAnsi" w:hAnsiTheme="minorHAnsi" w:cstheme="minorHAnsi"/>
              </w:rPr>
            </w:pPr>
            <w:r>
              <w:rPr>
                <w:rFonts w:asciiTheme="minorHAnsi" w:hAnsiTheme="minorHAnsi" w:cstheme="minorHAnsi"/>
              </w:rPr>
            </w:r>
            <w:r/>
          </w:p>
        </w:tc>
      </w:tr>
      <w:tr>
        <w:trPr/>
        <w:tc>
          <w:tcPr>
            <w:tcW w:w="1009" w:type="pct"/>
            <w:textDirection w:val="lrTb"/>
            <w:noWrap w:val="false"/>
          </w:tcPr>
          <w:p>
            <w:pPr>
              <w:jc w:val="center"/>
              <w:rPr>
                <w:rFonts w:asciiTheme="minorHAnsi" w:hAnsiTheme="minorHAnsi" w:cstheme="minorHAnsi"/>
              </w:rPr>
            </w:pPr>
            <w:r>
              <w:rPr>
                <w:rFonts w:asciiTheme="minorHAnsi" w:hAnsiTheme="minorHAnsi" w:cstheme="minorHAnsi"/>
              </w:rPr>
              <w:t xml:space="preserve">Etape 2</w:t>
            </w:r>
            <w:r/>
          </w:p>
        </w:tc>
        <w:tc>
          <w:tcPr>
            <w:tcW w:w="815"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795"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967"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794"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620" w:type="pct"/>
            <w:textDirection w:val="lrTb"/>
            <w:noWrap w:val="false"/>
          </w:tcPr>
          <w:p>
            <w:pPr>
              <w:jc w:val="center"/>
              <w:rPr>
                <w:rFonts w:asciiTheme="minorHAnsi" w:hAnsiTheme="minorHAnsi" w:cstheme="minorHAnsi"/>
              </w:rPr>
            </w:pPr>
            <w:r>
              <w:rPr>
                <w:rFonts w:asciiTheme="minorHAnsi" w:hAnsiTheme="minorHAnsi" w:cstheme="minorHAnsi"/>
              </w:rPr>
            </w:r>
            <w:r/>
          </w:p>
        </w:tc>
      </w:tr>
      <w:tr>
        <w:trPr/>
        <w:tc>
          <w:tcPr>
            <w:tcW w:w="1009" w:type="pct"/>
            <w:textDirection w:val="lrTb"/>
            <w:noWrap w:val="false"/>
          </w:tcPr>
          <w:p>
            <w:pPr>
              <w:jc w:val="center"/>
              <w:rPr>
                <w:rFonts w:asciiTheme="minorHAnsi" w:hAnsiTheme="minorHAnsi" w:cstheme="minorHAnsi"/>
              </w:rPr>
            </w:pPr>
            <w:r>
              <w:rPr>
                <w:rFonts w:asciiTheme="minorHAnsi" w:hAnsiTheme="minorHAnsi" w:cstheme="minorHAnsi"/>
              </w:rPr>
              <w:t xml:space="preserve">…</w:t>
            </w:r>
            <w:r/>
          </w:p>
        </w:tc>
        <w:tc>
          <w:tcPr>
            <w:tcW w:w="815"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795"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967"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794"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620" w:type="pct"/>
            <w:textDirection w:val="lrTb"/>
            <w:noWrap w:val="false"/>
          </w:tcPr>
          <w:p>
            <w:pPr>
              <w:jc w:val="center"/>
              <w:rPr>
                <w:rFonts w:asciiTheme="minorHAnsi" w:hAnsiTheme="minorHAnsi" w:cstheme="minorHAnsi"/>
              </w:rPr>
            </w:pPr>
            <w:r>
              <w:rPr>
                <w:rFonts w:asciiTheme="minorHAnsi" w:hAnsiTheme="minorHAnsi" w:cstheme="minorHAnsi"/>
              </w:rPr>
            </w:r>
            <w:r/>
          </w:p>
        </w:tc>
      </w:tr>
      <w:tr>
        <w:trPr/>
        <w:tc>
          <w:tcPr>
            <w:shd w:val="clear" w:color="auto" w:fill="9cc2e5" w:themeFill="accent1" w:themeFillTint="99"/>
            <w:tcW w:w="1009" w:type="pct"/>
            <w:textDirection w:val="lrTb"/>
            <w:noWrap w:val="false"/>
          </w:tcPr>
          <w:p>
            <w:pPr>
              <w:jc w:val="center"/>
              <w:rPr>
                <w:rFonts w:asciiTheme="minorHAnsi" w:hAnsiTheme="minorHAnsi" w:cstheme="minorHAnsi"/>
                <w:b/>
              </w:rPr>
            </w:pPr>
            <w:r>
              <w:rPr>
                <w:rFonts w:asciiTheme="minorHAnsi" w:hAnsiTheme="minorHAnsi" w:cstheme="minorHAnsi"/>
                <w:b/>
              </w:rPr>
              <w:t xml:space="preserve">Total</w:t>
            </w:r>
            <w:r/>
          </w:p>
        </w:tc>
        <w:tc>
          <w:tcPr>
            <w:tcW w:w="815"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795"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967" w:type="pct"/>
            <w:textDirection w:val="lrTb"/>
            <w:noWrap w:val="false"/>
          </w:tcPr>
          <w:p>
            <w:pPr>
              <w:jc w:val="center"/>
              <w:rPr>
                <w:rFonts w:asciiTheme="minorHAnsi" w:hAnsiTheme="minorHAnsi" w:cstheme="minorHAnsi"/>
              </w:rPr>
            </w:pPr>
            <w:r>
              <w:rPr>
                <w:rFonts w:asciiTheme="minorHAnsi" w:hAnsiTheme="minorHAnsi" w:cstheme="minorHAnsi"/>
              </w:rPr>
            </w:r>
            <w:r/>
          </w:p>
        </w:tc>
        <w:tc>
          <w:tcPr>
            <w:tcW w:w="794" w:type="pct"/>
            <w:textDirection w:val="lrTb"/>
            <w:noWrap w:val="false"/>
          </w:tcPr>
          <w:p>
            <w:pPr>
              <w:jc w:val="center"/>
              <w:rPr>
                <w:rFonts w:cstheme="minorHAnsi"/>
              </w:rPr>
            </w:pPr>
            <w:r>
              <w:rPr>
                <w:rFonts w:cstheme="minorHAnsi"/>
              </w:rPr>
            </w:r>
            <w:r/>
          </w:p>
        </w:tc>
        <w:tc>
          <w:tcPr>
            <w:tcW w:w="620" w:type="pct"/>
            <w:textDirection w:val="lrTb"/>
            <w:noWrap w:val="false"/>
          </w:tcPr>
          <w:p>
            <w:pPr>
              <w:jc w:val="center"/>
              <w:rPr>
                <w:rFonts w:asciiTheme="minorHAnsi" w:hAnsiTheme="minorHAnsi" w:cstheme="minorHAnsi"/>
              </w:rPr>
            </w:pPr>
            <w:r>
              <w:rPr>
                <w:rFonts w:asciiTheme="minorHAnsi" w:hAnsiTheme="minorHAnsi" w:cstheme="minorHAnsi"/>
              </w:rPr>
            </w:r>
            <w:r/>
          </w:p>
        </w:tc>
      </w:tr>
    </w:tbl>
    <w:p>
      <w:r/>
      <w:r/>
    </w:p>
    <w:p>
      <w:r>
        <w:br w:type="page" w:clear="all"/>
      </w:r>
      <w:r/>
    </w:p>
    <w:p>
      <w:pPr>
        <w:pStyle w:val="753"/>
        <w:numPr>
          <w:ilvl w:val="0"/>
          <w:numId w:val="0"/>
        </w:numPr>
        <w:ind w:left="720"/>
        <w:jc w:val="center"/>
        <w:rPr>
          <w:sz w:val="36"/>
          <w:szCs w:val="36"/>
        </w:rPr>
      </w:pPr>
      <w:r>
        <w:rPr>
          <w:sz w:val="36"/>
          <w:szCs w:val="36"/>
        </w:rPr>
        <w:t xml:space="preserve">ANNEXES – Comité </w:t>
      </w:r>
      <w:r>
        <w:rPr>
          <w:sz w:val="36"/>
          <w:szCs w:val="36"/>
        </w:rPr>
        <w:t xml:space="preserve">Prématuration</w:t>
      </w:r>
      <w:r>
        <w:rPr>
          <w:sz w:val="36"/>
          <w:szCs w:val="36"/>
        </w:rPr>
        <w:t xml:space="preserve"> 2023</w:t>
      </w:r>
      <w:r/>
    </w:p>
    <w:p>
      <w:r/>
      <w:r/>
    </w:p>
    <w:p>
      <w:pPr>
        <w:pStyle w:val="754"/>
        <w:numPr>
          <w:ilvl w:val="0"/>
          <w:numId w:val="0"/>
        </w:numPr>
        <w:ind w:left="720"/>
      </w:pPr>
      <w:r>
        <w:rPr>
          <w:b/>
        </w:rPr>
        <w:t xml:space="preserve">Stratégies nationales d’accélération – France 2030</w:t>
      </w:r>
      <w:r/>
    </w:p>
    <w:p>
      <w:pPr>
        <w:jc w:val="both"/>
        <w:rPr>
          <w:rFonts w:cstheme="minorHAnsi"/>
        </w:rPr>
      </w:pPr>
      <w:r>
        <w:rPr>
          <w:rFonts w:cstheme="minorHAnsi"/>
        </w:rPr>
        <w:t xml:space="preserve">Lors de la présentation du plan France Relance en septembre 2020, le Premier ministre a annoncé le lancement de </w:t>
      </w:r>
      <w:r>
        <w:rPr>
          <w:rFonts w:cstheme="minorHAnsi"/>
          <w:b/>
        </w:rPr>
        <w:t xml:space="preserve">stratégies d’accélération pour l’innovation</w:t>
      </w:r>
      <w:r>
        <w:rPr>
          <w:rFonts w:cstheme="minorHAnsi"/>
        </w:rPr>
        <w:t xml:space="preserve">. Elles s’inscrivent dans le cadre du quatrième Programme d’investissements d’avenir (</w:t>
      </w:r>
      <w:r>
        <w:rPr>
          <w:rFonts w:cstheme="minorHAnsi"/>
          <w:b/>
        </w:rPr>
        <w:t xml:space="preserve">PIA4</w:t>
      </w:r>
      <w:r>
        <w:rPr>
          <w:rFonts w:cstheme="minorHAnsi"/>
        </w:rPr>
        <w:t xml:space="preserve">). Ces stra</w:t>
      </w:r>
      <w:r>
        <w:rPr>
          <w:rFonts w:cstheme="minorHAnsi"/>
        </w:rPr>
        <w:t xml:space="preserve">tégies visent à identifier les </w:t>
      </w:r>
      <w:r>
        <w:rPr>
          <w:rFonts w:cstheme="minorHAnsi"/>
          <w:b/>
        </w:rPr>
        <w:t xml:space="preserve">principaux enjeux économiques et technologiques d’avenir</w:t>
      </w:r>
      <w:r>
        <w:rPr>
          <w:rFonts w:cstheme="minorHAnsi"/>
        </w:rPr>
        <w:t xml:space="preserve"> et à y investir de façon exceptionnelle et </w:t>
      </w:r>
      <w:r>
        <w:rPr>
          <w:rFonts w:cstheme="minorHAnsi"/>
          <w:b/>
        </w:rPr>
        <w:t xml:space="preserve">globale</w:t>
      </w:r>
      <w:r>
        <w:rPr>
          <w:rFonts w:cstheme="minorHAnsi"/>
        </w:rPr>
        <w:t xml:space="preserve"> (financements, normes, fiscalité…). Les 2 SNA portées par </w:t>
      </w:r>
      <w:r>
        <w:rPr>
          <w:rFonts w:cstheme="minorHAnsi"/>
        </w:rPr>
        <w:t xml:space="preserve">Sci-ty</w:t>
      </w:r>
      <w:r>
        <w:rPr>
          <w:rFonts w:cstheme="minorHAnsi"/>
        </w:rPr>
        <w:t xml:space="preserve"> et leurs axes sont résumés ci-après :</w:t>
      </w:r>
      <w:r/>
    </w:p>
    <w:p>
      <w:pPr>
        <w:pStyle w:val="953"/>
        <w:jc w:val="both"/>
        <w:rPr>
          <w:rFonts w:asciiTheme="minorHAnsi" w:hAnsiTheme="minorHAnsi" w:cstheme="minorHAnsi"/>
          <w:sz w:val="28"/>
          <w:szCs w:val="28"/>
        </w:rPr>
      </w:pPr>
      <w:r>
        <w:rPr>
          <w:rFonts w:asciiTheme="minorHAnsi" w:hAnsiTheme="minorHAnsi" w:cstheme="minorHAnsi"/>
          <w:b/>
          <w:sz w:val="28"/>
          <w:szCs w:val="28"/>
          <w:u w:val="single"/>
        </w:rPr>
        <w:t xml:space="preserve">Ville durable </w:t>
      </w:r>
      <w:r>
        <w:rPr>
          <w:rFonts w:asciiTheme="minorHAnsi" w:hAnsiTheme="minorHAnsi" w:cstheme="minorHAnsi"/>
          <w:b/>
          <w:sz w:val="28"/>
          <w:szCs w:val="28"/>
          <w:u w:val="single"/>
        </w:rPr>
        <w:t xml:space="preserve">et Bâtiments innovants (VDBI)</w:t>
      </w:r>
      <w:r>
        <w:rPr>
          <w:rFonts w:asciiTheme="minorHAnsi" w:hAnsiTheme="minorHAnsi" w:cstheme="minorHAnsi"/>
          <w:sz w:val="28"/>
          <w:szCs w:val="28"/>
        </w:rPr>
        <w:t xml:space="preserve"> </w:t>
      </w:r>
      <w:r/>
    </w:p>
    <w:p>
      <w:pPr>
        <w:pStyle w:val="953"/>
        <w:jc w:val="both"/>
        <w:rPr>
          <w:rFonts w:asciiTheme="minorHAnsi" w:hAnsiTheme="minorHAnsi" w:cstheme="minorHAnsi"/>
          <w:sz w:val="22"/>
          <w:szCs w:val="22"/>
        </w:rPr>
      </w:pPr>
      <w:r>
        <w:rPr>
          <w:rFonts w:asciiTheme="minorHAnsi" w:hAnsiTheme="minorHAnsi" w:cstheme="minorHAnsi"/>
          <w:color w:val="0e233d"/>
          <w:sz w:val="22"/>
          <w:szCs w:val="22"/>
        </w:rPr>
        <w:t xml:space="preserve">Le développement urbain durable est un sujet majeur en France comme à l’échelle mondiale, la lutte contre le changement climatique impose une réduction des émissions de gaz à effet de serre et des stratégies d’adaptation repo</w:t>
      </w:r>
      <w:r>
        <w:rPr>
          <w:rFonts w:asciiTheme="minorHAnsi" w:hAnsiTheme="minorHAnsi" w:cstheme="minorHAnsi"/>
          <w:color w:val="0e233d"/>
          <w:sz w:val="22"/>
          <w:szCs w:val="22"/>
        </w:rPr>
        <w:t xml:space="preserve">sant sur un meilleur équilibre entre ressources disponibles (eau, biodiversité, sol) et consommation. </w:t>
      </w:r>
      <w:r/>
    </w:p>
    <w:p>
      <w:pPr>
        <w:pStyle w:val="953"/>
        <w:jc w:val="both"/>
        <w:rPr>
          <w:rFonts w:asciiTheme="minorHAnsi" w:hAnsiTheme="minorHAnsi" w:cstheme="minorHAnsi"/>
          <w:sz w:val="22"/>
          <w:szCs w:val="22"/>
        </w:rPr>
      </w:pPr>
      <w:r>
        <w:rPr>
          <w:rFonts w:asciiTheme="minorHAnsi" w:hAnsiTheme="minorHAnsi" w:cstheme="minorHAnsi"/>
          <w:color w:val="0e233d"/>
          <w:sz w:val="22"/>
          <w:szCs w:val="22"/>
        </w:rPr>
        <w:t xml:space="preserve">Dans ce contexte, le rôle de l’État est de fédérer et d’animer les réseaux d’acteurs, d’accompagner les projets innovants de territoires, de créer un éco</w:t>
      </w:r>
      <w:r>
        <w:rPr>
          <w:rFonts w:asciiTheme="minorHAnsi" w:hAnsiTheme="minorHAnsi" w:cstheme="minorHAnsi"/>
          <w:color w:val="0e233d"/>
          <w:sz w:val="22"/>
          <w:szCs w:val="22"/>
        </w:rPr>
        <w:t xml:space="preserve">système favorable à l’émergence de nouvelles solutions en réponse aux défis qui s’imposent. Pour favoriser la résilience, la sobriété et l’inclusion sociale à l’échelle de nos territoires il nous faut reconstruire sur les villes existantes, en créant ou va</w:t>
      </w:r>
      <w:r>
        <w:rPr>
          <w:rFonts w:asciiTheme="minorHAnsi" w:hAnsiTheme="minorHAnsi" w:cstheme="minorHAnsi"/>
          <w:color w:val="0e233d"/>
          <w:sz w:val="22"/>
          <w:szCs w:val="22"/>
        </w:rPr>
        <w:t xml:space="preserve">lorisant des espaces de nature et d’échanges, des fonctions et des services de proximité. </w:t>
      </w:r>
      <w:r/>
    </w:p>
    <w:p>
      <w:pPr>
        <w:pStyle w:val="953"/>
        <w:jc w:val="both"/>
        <w:rPr>
          <w:rFonts w:asciiTheme="minorHAnsi" w:hAnsiTheme="minorHAnsi" w:cstheme="minorHAnsi"/>
          <w:b/>
          <w:bCs/>
          <w:color w:val="0e233d"/>
          <w:sz w:val="22"/>
          <w:szCs w:val="22"/>
        </w:rPr>
      </w:pPr>
      <w:r>
        <w:rPr>
          <w:rFonts w:asciiTheme="minorHAnsi" w:hAnsiTheme="minorHAnsi" w:cstheme="minorHAnsi"/>
          <w:color w:val="0e233d"/>
          <w:sz w:val="22"/>
          <w:szCs w:val="22"/>
        </w:rPr>
        <w:t xml:space="preserve">C’est à ce titre que le projet de loi climat-résilience poursuit l’objectif de réduction de 50% du rythme de l’artificialisation des sols d’ici une décennie. </w:t>
      </w:r>
      <w:r>
        <w:rPr>
          <w:rFonts w:asciiTheme="minorHAnsi" w:hAnsiTheme="minorHAnsi" w:cstheme="minorHAnsi"/>
          <w:b/>
          <w:bCs/>
          <w:color w:val="0e233d"/>
          <w:sz w:val="22"/>
          <w:szCs w:val="22"/>
        </w:rPr>
        <w:t xml:space="preserve">Cela se</w:t>
      </w:r>
      <w:r>
        <w:rPr>
          <w:rFonts w:asciiTheme="minorHAnsi" w:hAnsiTheme="minorHAnsi" w:cstheme="minorHAnsi"/>
          <w:b/>
          <w:bCs/>
          <w:color w:val="0e233d"/>
          <w:sz w:val="22"/>
          <w:szCs w:val="22"/>
        </w:rPr>
        <w:t xml:space="preserve"> traduit très concrètement par le développement de nouveaux modes de conception, de réalisation et d’usages de la ville qui visent le recyclage urbain à toutes les échelles. </w:t>
      </w:r>
      <w:r>
        <w:rPr>
          <w:rFonts w:asciiTheme="minorHAnsi" w:hAnsiTheme="minorHAnsi" w:cstheme="minorHAnsi"/>
          <w:color w:val="0e233d"/>
          <w:sz w:val="22"/>
          <w:szCs w:val="22"/>
        </w:rPr>
        <w:t xml:space="preserve">L’objectif d’une ville neutre en carbone à l’horizon 2050 doit être atteint. </w:t>
      </w:r>
      <w:r>
        <w:rPr>
          <w:rFonts w:asciiTheme="minorHAnsi" w:hAnsiTheme="minorHAnsi" w:cstheme="minorHAnsi"/>
          <w:b/>
          <w:bCs/>
          <w:color w:val="0e233d"/>
          <w:sz w:val="22"/>
          <w:szCs w:val="22"/>
        </w:rPr>
        <w:t xml:space="preserve">Cela </w:t>
      </w:r>
      <w:r>
        <w:rPr>
          <w:rFonts w:asciiTheme="minorHAnsi" w:hAnsiTheme="minorHAnsi" w:cstheme="minorHAnsi"/>
          <w:b/>
          <w:bCs/>
          <w:color w:val="0e233d"/>
          <w:sz w:val="22"/>
          <w:szCs w:val="22"/>
        </w:rPr>
        <w:t xml:space="preserve">ne sera envisageable qu’avec une action massive sur le bâti ainsi que sur l’écosystème des acteurs en charge de la rénovation, la conception et la construction de nos villes. </w:t>
      </w:r>
      <w:r/>
    </w:p>
    <w:p>
      <w:pPr>
        <w:pStyle w:val="953"/>
        <w:jc w:val="both"/>
        <w:rPr>
          <w:rFonts w:asciiTheme="minorHAnsi" w:hAnsiTheme="minorHAnsi" w:cstheme="minorHAnsi"/>
          <w:b/>
          <w:bCs/>
          <w:color w:val="0e233d"/>
          <w:sz w:val="22"/>
          <w:szCs w:val="22"/>
        </w:rPr>
      </w:pPr>
      <w:r>
        <w:rPr>
          <w:rFonts w:asciiTheme="minorHAnsi" w:hAnsiTheme="minorHAnsi" w:cstheme="minorHAnsi"/>
          <w:b/>
          <w:bCs/>
          <w:color w:val="0e233d"/>
          <w:sz w:val="22"/>
          <w:szCs w:val="22"/>
        </w:rPr>
      </w:r>
      <w:r/>
    </w:p>
    <w:p>
      <w:pPr>
        <w:pStyle w:val="953"/>
        <w:rPr>
          <w:rFonts w:asciiTheme="minorHAnsi" w:hAnsiTheme="minorHAnsi" w:cstheme="minorHAnsi"/>
          <w:sz w:val="22"/>
          <w:szCs w:val="22"/>
        </w:rPr>
      </w:pPr>
      <w:r>
        <w:rPr>
          <w:rFonts w:asciiTheme="minorHAnsi" w:hAnsiTheme="minorHAnsi" w:cstheme="minorHAnsi"/>
          <w:b/>
          <w:sz w:val="22"/>
          <w:szCs w:val="22"/>
          <w:u w:val="single"/>
        </w:rPr>
        <w:t xml:space="preserve">Axe 1:</w:t>
      </w:r>
      <w:r>
        <w:rPr>
          <w:rFonts w:asciiTheme="minorHAnsi" w:hAnsiTheme="minorHAnsi" w:cstheme="minorHAnsi"/>
          <w:sz w:val="22"/>
          <w:szCs w:val="22"/>
        </w:rPr>
        <w:t xml:space="preserve"> </w:t>
      </w:r>
      <w:r>
        <w:rPr>
          <w:rFonts w:asciiTheme="minorHAnsi" w:hAnsiTheme="minorHAnsi" w:cstheme="minorHAnsi"/>
          <w:b/>
          <w:sz w:val="22"/>
          <w:szCs w:val="22"/>
        </w:rPr>
        <w:t xml:space="preserve">Accélérer la transformation des villes par une approche intégrée</w:t>
      </w:r>
      <w:r>
        <w:rPr>
          <w:rFonts w:asciiTheme="minorHAnsi" w:hAnsiTheme="minorHAnsi" w:cstheme="minorHAnsi"/>
          <w:sz w:val="22"/>
          <w:szCs w:val="22"/>
        </w:rPr>
        <w:t xml:space="preserve"> </w:t>
      </w:r>
      <w:r/>
    </w:p>
    <w:p>
      <w:pPr>
        <w:pStyle w:val="953"/>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Il est nécessaire d’aborder ces défis de manière intégrée, tout comme les interventions de l’État et notamment des actions du PIA : </w:t>
      </w:r>
      <w:r/>
    </w:p>
    <w:p>
      <w:pPr>
        <w:pStyle w:val="953"/>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w:t>
      </w:r>
      <w:r>
        <w:rPr>
          <w:rFonts w:asciiTheme="minorHAnsi" w:hAnsiTheme="minorHAnsi" w:cstheme="minorHAnsi"/>
          <w:color w:val="0e233d"/>
          <w:sz w:val="22"/>
          <w:szCs w:val="22"/>
        </w:rPr>
        <w:t xml:space="preserve"> En accompagnant les acteurs et les écosystèmes afin qu’ils soient en mesure d’appréhender pleinement les interactions et </w:t>
      </w:r>
      <w:r>
        <w:rPr>
          <w:rFonts w:asciiTheme="minorHAnsi" w:hAnsiTheme="minorHAnsi" w:cstheme="minorHAnsi"/>
          <w:color w:val="0e233d"/>
          <w:sz w:val="22"/>
          <w:szCs w:val="22"/>
        </w:rPr>
        <w:t xml:space="preserve">complexités à l’</w:t>
      </w:r>
      <w:r>
        <w:rPr>
          <w:rFonts w:asciiTheme="minorHAnsi" w:hAnsiTheme="minorHAnsi" w:cstheme="minorHAnsi"/>
          <w:color w:val="0e233d"/>
          <w:sz w:val="22"/>
          <w:szCs w:val="22"/>
        </w:rPr>
        <w:t xml:space="preserve">œuvre</w:t>
      </w:r>
      <w:r>
        <w:rPr>
          <w:rFonts w:asciiTheme="minorHAnsi" w:hAnsiTheme="minorHAnsi" w:cstheme="minorHAnsi"/>
          <w:color w:val="0e233d"/>
          <w:sz w:val="22"/>
          <w:szCs w:val="22"/>
        </w:rPr>
        <w:t xml:space="preserve"> et de les intégrer à la définition et réalisation de leurs projets ; </w:t>
      </w:r>
      <w:r/>
    </w:p>
    <w:p>
      <w:pPr>
        <w:pStyle w:val="953"/>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w:t>
      </w:r>
      <w:r>
        <w:rPr>
          <w:rFonts w:asciiTheme="minorHAnsi" w:hAnsiTheme="minorHAnsi" w:cstheme="minorHAnsi"/>
          <w:color w:val="0e233d"/>
          <w:sz w:val="22"/>
          <w:szCs w:val="22"/>
        </w:rPr>
        <w:t xml:space="preserve"> En soutenant l’émergence d’outils et méthodes innovants, notamment numériques, permettant une mutation durable du secteur</w:t>
      </w:r>
      <w:r>
        <w:rPr>
          <w:rFonts w:asciiTheme="minorHAnsi" w:hAnsiTheme="minorHAnsi" w:cstheme="minorHAnsi"/>
          <w:color w:val="0e233d"/>
          <w:sz w:val="22"/>
          <w:szCs w:val="22"/>
        </w:rPr>
        <w:t xml:space="preserve"> ;</w:t>
      </w:r>
      <w:r/>
    </w:p>
    <w:p>
      <w:pPr>
        <w:pStyle w:val="953"/>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w:t>
      </w:r>
      <w:r>
        <w:rPr>
          <w:rFonts w:asciiTheme="minorHAnsi" w:hAnsiTheme="minorHAnsi" w:cstheme="minorHAnsi"/>
          <w:color w:val="0e233d"/>
          <w:sz w:val="22"/>
          <w:szCs w:val="22"/>
        </w:rPr>
        <w:t xml:space="preserve"> </w:t>
      </w:r>
      <w:r>
        <w:rPr>
          <w:rFonts w:asciiTheme="minorHAnsi" w:hAnsiTheme="minorHAnsi" w:cstheme="minorHAnsi"/>
          <w:color w:val="0e233d"/>
          <w:sz w:val="22"/>
          <w:szCs w:val="22"/>
        </w:rPr>
        <w:t xml:space="preserve">En favorisant l’émergence d’innovations et d’acteurs économiques capables de créer de la valeur en France et à l’international, la ville constituant pour les innovations urbaines un terrain d’expérimentation et un marché potentiel considérables. </w:t>
      </w:r>
      <w:r/>
    </w:p>
    <w:p>
      <w:pPr>
        <w:pStyle w:val="953"/>
        <w:ind w:left="708"/>
        <w:rPr>
          <w:rFonts w:cstheme="minorHAnsi"/>
        </w:rPr>
      </w:pPr>
      <w:r>
        <w:rPr>
          <w:rFonts w:cstheme="minorHAnsi"/>
        </w:rPr>
      </w:r>
      <w:r/>
    </w:p>
    <w:p>
      <w:pPr>
        <w:jc w:val="both"/>
        <w:rPr>
          <w:rFonts w:cstheme="minorHAnsi"/>
        </w:rPr>
      </w:pPr>
      <w:r>
        <w:rPr>
          <w:rFonts w:cstheme="minorHAnsi"/>
          <w:b/>
          <w:u w:val="single"/>
        </w:rPr>
        <w:t xml:space="preserve">Axe 2:</w:t>
      </w:r>
      <w:r>
        <w:rPr>
          <w:rFonts w:cstheme="minorHAnsi"/>
        </w:rPr>
        <w:t xml:space="preserve"> </w:t>
      </w:r>
      <w:r>
        <w:rPr>
          <w:rFonts w:cstheme="minorHAnsi"/>
          <w:b/>
        </w:rPr>
        <w:t xml:space="preserve">A</w:t>
      </w:r>
      <w:r>
        <w:rPr>
          <w:rFonts w:cstheme="minorHAnsi"/>
          <w:b/>
        </w:rPr>
        <w:t xml:space="preserve">gir sur le bâti pour la sobriété en énergies et en ressources</w:t>
      </w:r>
      <w:r>
        <w:rPr>
          <w:rFonts w:cstheme="minorHAnsi"/>
        </w:rPr>
        <w:t xml:space="preserve"> </w:t>
      </w:r>
      <w:r/>
    </w:p>
    <w:p>
      <w:pPr>
        <w:jc w:val="both"/>
        <w:rPr>
          <w:rFonts w:cstheme="minorHAnsi"/>
          <w:color w:val="0e233d"/>
        </w:rPr>
      </w:pPr>
      <w:r>
        <w:rPr>
          <w:color w:val="0e233d"/>
        </w:rPr>
        <w:t xml:space="preserve">Pour s’inscrire dans cette trajectoire de sobriété, il sera nécessaire de passer par le déploiement et la massification de solutions viables au plan technique et économique qui seront à la fois</w:t>
      </w:r>
      <w:r>
        <w:rPr>
          <w:color w:val="0e233d"/>
        </w:rPr>
        <w:t xml:space="preserve"> en mesure de garantir un haut niveau de performance énergétique et environnemental et de s’inscrire dans les contraintes économiques du secteur du bâtiment. </w:t>
      </w:r>
      <w:r/>
    </w:p>
    <w:p>
      <w:pPr>
        <w:pStyle w:val="953"/>
        <w:rPr>
          <w:rFonts w:asciiTheme="minorHAnsi" w:hAnsiTheme="minorHAnsi" w:cstheme="minorHAnsi"/>
        </w:rPr>
      </w:pPr>
      <w:r>
        <w:rPr>
          <w:rFonts w:asciiTheme="minorHAnsi" w:hAnsiTheme="minorHAnsi" w:cstheme="minorHAnsi"/>
          <w:b/>
          <w:u w:val="single"/>
        </w:rPr>
        <w:t xml:space="preserve">A</w:t>
      </w:r>
      <w:r>
        <w:rPr>
          <w:rFonts w:asciiTheme="minorHAnsi" w:hAnsiTheme="minorHAnsi" w:cstheme="minorHAnsi"/>
          <w:b/>
          <w:u w:val="single"/>
        </w:rPr>
        <w:t xml:space="preserve">xe 3:</w:t>
      </w:r>
      <w:r>
        <w:rPr>
          <w:rFonts w:asciiTheme="minorHAnsi" w:hAnsiTheme="minorHAnsi" w:cstheme="minorHAnsi"/>
        </w:rPr>
        <w:t xml:space="preserve"> </w:t>
      </w:r>
      <w:r>
        <w:rPr>
          <w:rFonts w:asciiTheme="minorHAnsi" w:hAnsiTheme="minorHAnsi" w:cstheme="minorHAnsi"/>
          <w:b/>
        </w:rPr>
        <w:t xml:space="preserve">Accompagner le développement des filières</w:t>
      </w:r>
      <w:r>
        <w:rPr>
          <w:rFonts w:asciiTheme="minorHAnsi" w:hAnsiTheme="minorHAnsi" w:cstheme="minorHAnsi"/>
        </w:rPr>
        <w:t xml:space="preserve"> </w:t>
      </w:r>
      <w:r/>
    </w:p>
    <w:p>
      <w:pPr>
        <w:pStyle w:val="953"/>
        <w:jc w:val="both"/>
        <w:rPr>
          <w:rFonts w:asciiTheme="minorHAnsi" w:hAnsiTheme="minorHAnsi" w:cstheme="minorBidi"/>
          <w:color w:val="0e233d"/>
          <w:sz w:val="22"/>
          <w:szCs w:val="22"/>
        </w:rPr>
      </w:pPr>
      <w:r>
        <w:rPr>
          <w:rFonts w:asciiTheme="minorHAnsi" w:hAnsiTheme="minorHAnsi" w:cstheme="minorBidi"/>
          <w:color w:val="0e233d"/>
          <w:sz w:val="22"/>
          <w:szCs w:val="22"/>
        </w:rPr>
        <w:t xml:space="preserve">Les filières ont dès à présent engagé des actio</w:t>
      </w:r>
      <w:r>
        <w:rPr>
          <w:rFonts w:asciiTheme="minorHAnsi" w:hAnsiTheme="minorHAnsi" w:cstheme="minorBidi"/>
          <w:color w:val="0e233d"/>
          <w:sz w:val="22"/>
          <w:szCs w:val="22"/>
        </w:rPr>
        <w:t xml:space="preserve">ns afin d’attirer les talents, mais le rythme doit être accéléré et la stratégie permet, par des mesures complémentaires, de démultiplier les impacts. Il est par ailleurs nécessaire de renforcer leurs capacités d’innovation et de favoriser le développement</w:t>
      </w:r>
      <w:r>
        <w:rPr>
          <w:rFonts w:asciiTheme="minorHAnsi" w:hAnsiTheme="minorHAnsi" w:cstheme="minorBidi"/>
          <w:color w:val="0e233d"/>
          <w:sz w:val="22"/>
          <w:szCs w:val="22"/>
        </w:rPr>
        <w:t xml:space="preserve"> de nouveaux</w:t>
      </w:r>
      <w:r>
        <w:rPr>
          <w:color w:val="0e233d"/>
          <w:sz w:val="22"/>
          <w:szCs w:val="22"/>
        </w:rPr>
        <w:t xml:space="preserve"> </w:t>
      </w:r>
      <w:r>
        <w:rPr>
          <w:rFonts w:asciiTheme="minorHAnsi" w:hAnsiTheme="minorHAnsi" w:cstheme="minorBidi"/>
          <w:color w:val="0e233d"/>
          <w:sz w:val="22"/>
          <w:szCs w:val="22"/>
        </w:rPr>
        <w:t xml:space="preserve">matériaux </w:t>
      </w:r>
      <w:r>
        <w:rPr>
          <w:rFonts w:asciiTheme="minorHAnsi" w:hAnsiTheme="minorHAnsi" w:cstheme="minorBidi"/>
          <w:color w:val="0e233d"/>
          <w:sz w:val="22"/>
          <w:szCs w:val="22"/>
        </w:rPr>
        <w:t xml:space="preserve">à faible impact carbone (notamment </w:t>
      </w:r>
      <w:r>
        <w:rPr>
          <w:rFonts w:asciiTheme="minorHAnsi" w:hAnsiTheme="minorHAnsi" w:cstheme="minorBidi"/>
          <w:color w:val="0e233d"/>
          <w:sz w:val="22"/>
          <w:szCs w:val="22"/>
        </w:rPr>
        <w:t xml:space="preserve">biosourcés</w:t>
      </w:r>
      <w:r>
        <w:rPr>
          <w:rFonts w:asciiTheme="minorHAnsi" w:hAnsiTheme="minorHAnsi" w:cstheme="minorBidi"/>
          <w:color w:val="0e233d"/>
          <w:sz w:val="22"/>
          <w:szCs w:val="22"/>
        </w:rPr>
        <w:t xml:space="preserve">/</w:t>
      </w:r>
      <w:r>
        <w:rPr>
          <w:rFonts w:asciiTheme="minorHAnsi" w:hAnsiTheme="minorHAnsi" w:cstheme="minorBidi"/>
          <w:color w:val="0e233d"/>
          <w:sz w:val="22"/>
          <w:szCs w:val="22"/>
        </w:rPr>
        <w:t xml:space="preserve">géosourcés</w:t>
      </w:r>
      <w:r>
        <w:rPr>
          <w:rFonts w:asciiTheme="minorHAnsi" w:hAnsiTheme="minorHAnsi" w:cstheme="minorBidi"/>
          <w:color w:val="0e233d"/>
          <w:sz w:val="22"/>
          <w:szCs w:val="22"/>
        </w:rPr>
        <w:t xml:space="preserve">) et de solutions numériques ou de réemploi pour les bâtiments qui viendront compléter l’offre existante</w:t>
      </w:r>
      <w:r>
        <w:rPr>
          <w:rFonts w:asciiTheme="minorHAnsi" w:hAnsiTheme="minorHAnsi" w:cstheme="minorBidi"/>
          <w:color w:val="0e233d"/>
          <w:sz w:val="22"/>
          <w:szCs w:val="22"/>
        </w:rPr>
        <w:t xml:space="preserve">. </w:t>
      </w:r>
      <w:r/>
    </w:p>
    <w:p>
      <w:pPr>
        <w:pStyle w:val="953"/>
        <w:ind w:left="708"/>
        <w:jc w:val="both"/>
        <w:rPr>
          <w:rFonts w:asciiTheme="minorHAnsi" w:hAnsiTheme="minorHAnsi" w:cstheme="minorHAnsi"/>
        </w:rPr>
      </w:pPr>
      <w:r>
        <w:rPr>
          <w:rFonts w:asciiTheme="minorHAnsi" w:hAnsiTheme="minorHAnsi" w:cstheme="minorHAnsi"/>
        </w:rPr>
      </w:r>
      <w:r/>
    </w:p>
    <w:p>
      <w:pPr>
        <w:pStyle w:val="953"/>
        <w:jc w:val="both"/>
        <w:rPr>
          <w:rFonts w:asciiTheme="minorHAnsi" w:hAnsiTheme="minorHAnsi" w:cstheme="minorHAnsi"/>
          <w:b/>
          <w:bCs/>
        </w:rPr>
      </w:pPr>
      <w:r>
        <w:rPr>
          <w:rFonts w:asciiTheme="minorHAnsi" w:hAnsiTheme="minorHAnsi" w:cstheme="minorHAnsi"/>
          <w:b/>
        </w:rPr>
        <w:t xml:space="preserve">Attentes particulières : les AAP </w:t>
      </w:r>
      <w:hyperlink r:id="rId12" w:tooltip="https://www.gouvernement.fr/france-2030/appels-a-candidatures" w:history="1">
        <w:r>
          <w:rPr>
            <w:rStyle w:val="952"/>
            <w:rFonts w:asciiTheme="minorHAnsi" w:hAnsiTheme="minorHAnsi" w:cstheme="minorHAnsi"/>
            <w:b/>
            <w:bCs/>
          </w:rPr>
          <w:t xml:space="preserve">Prévention et Remédiation des désordres </w:t>
        </w:r>
        <w:r>
          <w:rPr>
            <w:rStyle w:val="952"/>
            <w:rFonts w:asciiTheme="minorHAnsi" w:hAnsiTheme="minorHAnsi" w:cstheme="minorHAnsi"/>
            <w:b/>
            <w:bCs/>
          </w:rPr>
          <w:t xml:space="preserve">bâtimentaires</w:t>
        </w:r>
        <w:r>
          <w:rPr>
            <w:rStyle w:val="952"/>
            <w:rFonts w:asciiTheme="minorHAnsi" w:hAnsiTheme="minorHAnsi" w:cstheme="minorHAnsi"/>
            <w:b/>
            <w:bCs/>
          </w:rPr>
          <w:t xml:space="preserve"> dus au Retrait Gonflement des sols Argileux (RGA)</w:t>
        </w:r>
      </w:hyperlink>
      <w:r>
        <w:rPr>
          <w:rFonts w:asciiTheme="minorHAnsi" w:hAnsiTheme="minorHAnsi" w:cstheme="minorHAnsi"/>
          <w:b/>
          <w:bCs/>
        </w:rPr>
        <w:t xml:space="preserve">, </w:t>
      </w:r>
      <w:r>
        <w:rPr>
          <w:rFonts w:asciiTheme="minorHAnsi" w:hAnsiTheme="minorHAnsi" w:cstheme="minorHAnsi"/>
          <w:b/>
        </w:rPr>
        <w:t xml:space="preserve"> </w:t>
      </w:r>
      <w:hyperlink r:id="rId13" w:tooltip="https://www.gouvernement.fr/france-2030/appels-a-candidatures" w:history="1">
        <w:r>
          <w:rPr>
            <w:rStyle w:val="952"/>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4" w:tooltip="https://agirpourlatransition.ademe.fr/entreprises/aides-financieres/20220613/solutions-innovantes-lamelioration-recyclabilite-recyclage?cible=80" w:history="1">
        <w:r>
          <w:rPr>
            <w:rStyle w:val="952"/>
            <w:rFonts w:asciiTheme="minorHAnsi" w:hAnsiTheme="minorHAnsi" w:cstheme="minorHAnsi"/>
            <w:b/>
            <w:bCs/>
          </w:rPr>
          <w:t xml:space="preserve">RR</w:t>
        </w:r>
      </w:hyperlink>
      <w:r>
        <w:rPr>
          <w:rFonts w:asciiTheme="minorHAnsi" w:hAnsiTheme="minorHAnsi" w:cstheme="minorHAnsi"/>
          <w:b/>
        </w:rPr>
        <w:t xml:space="preserve">  concentrent des sujets d’intérêt fort pou</w:t>
      </w:r>
      <w:r>
        <w:rPr>
          <w:rFonts w:asciiTheme="minorHAnsi" w:hAnsiTheme="minorHAnsi" w:cstheme="minorHAnsi"/>
          <w:b/>
        </w:rPr>
        <w:t xml:space="preserve">r le SGPI. </w:t>
      </w:r>
      <w:r/>
    </w:p>
    <w:p>
      <w:pPr>
        <w:pStyle w:val="953"/>
        <w:ind w:left="708"/>
        <w:jc w:val="both"/>
      </w:pPr>
      <w:r/>
      <w:r/>
    </w:p>
    <w:p>
      <w:pPr>
        <w:pStyle w:val="953"/>
        <w:ind w:left="708"/>
        <w:jc w:val="both"/>
      </w:pPr>
      <w:r/>
      <w:r/>
    </w:p>
    <w:p>
      <w:pPr>
        <w:jc w:val="both"/>
        <w:rPr>
          <w:sz w:val="28"/>
          <w:szCs w:val="28"/>
        </w:rPr>
      </w:pPr>
      <w:r>
        <w:rPr>
          <w:b/>
          <w:sz w:val="28"/>
          <w:szCs w:val="28"/>
          <w:u w:val="single"/>
        </w:rPr>
        <w:t xml:space="preserve">Digitalisation et </w:t>
      </w:r>
      <w:r>
        <w:rPr>
          <w:b/>
          <w:sz w:val="28"/>
          <w:szCs w:val="28"/>
          <w:u w:val="single"/>
        </w:rPr>
        <w:t xml:space="preserve">décarbonation</w:t>
      </w:r>
      <w:r>
        <w:rPr>
          <w:b/>
          <w:sz w:val="28"/>
          <w:szCs w:val="28"/>
          <w:u w:val="single"/>
        </w:rPr>
        <w:t xml:space="preserve"> des Mobilités (DDM)</w:t>
      </w:r>
      <w:r>
        <w:rPr>
          <w:sz w:val="28"/>
          <w:szCs w:val="28"/>
        </w:rPr>
        <w:t xml:space="preserve"> </w:t>
      </w:r>
      <w:r/>
    </w:p>
    <w:p>
      <w:pPr>
        <w:jc w:val="both"/>
      </w:pPr>
      <w:r>
        <w:rPr>
          <w:color w:val="0e233d"/>
        </w:rPr>
        <w:t xml:space="preserve">La stratégie d’accélération </w:t>
      </w:r>
      <w:r>
        <w:t xml:space="preserve">vise à accélérer la transition vers une mobilité </w:t>
      </w:r>
      <w:r>
        <w:t xml:space="preserve">décarbonée</w:t>
      </w:r>
      <w:r>
        <w:t xml:space="preserve">, à développer et diversifier l’offre de mobilité, sûre, résiliente et accessible à tous, notamment en</w:t>
      </w:r>
      <w:r>
        <w:t xml:space="preserve"> s’appuyant sur la digitalisation et l’automatisation. </w:t>
      </w:r>
      <w:r>
        <w:rPr>
          <w:color w:val="0e233d"/>
        </w:rPr>
        <w:t xml:space="preserve">Ce faisant, elle entend faire de la France un leader mondial des transports </w:t>
      </w:r>
      <w:r>
        <w:rPr>
          <w:color w:val="0e233d"/>
        </w:rPr>
        <w:t xml:space="preserve">décarbonés</w:t>
      </w:r>
      <w:r>
        <w:rPr>
          <w:color w:val="0e233d"/>
        </w:rPr>
        <w:t xml:space="preserve"> et digitalisés, dans un contexte où l’ensemble des pays est engagé dans cette transition.</w:t>
      </w:r>
      <w:r/>
    </w:p>
    <w:p>
      <w:pPr>
        <w:jc w:val="both"/>
      </w:pPr>
      <w:r>
        <w:rPr>
          <w:b/>
          <w:u w:val="single"/>
        </w:rPr>
        <w:t xml:space="preserve">Axe 1 :</w:t>
      </w:r>
      <w:r>
        <w:t xml:space="preserve"> </w:t>
      </w:r>
      <w:r>
        <w:rPr>
          <w:b/>
        </w:rPr>
        <w:t xml:space="preserve">Concevoir le fer</w:t>
      </w:r>
      <w:r>
        <w:rPr>
          <w:b/>
        </w:rPr>
        <w:t xml:space="preserve">roviaire de demain et optimiser son exploitation</w:t>
      </w:r>
      <w:r>
        <w:t xml:space="preserve"> </w:t>
      </w:r>
      <w:r/>
    </w:p>
    <w:p>
      <w:pPr>
        <w:jc w:val="both"/>
      </w:pPr>
      <w:r>
        <w:t xml:space="preserve">Les objets et finalités de la stratégie sont de développer une offre de train léger, évaluée et validée, du point de vue de la sécurité, de l’exploitation et du modèle économique, par des projets pilotes dé</w:t>
      </w:r>
      <w:r>
        <w:t xml:space="preserve">ployés dans une diversité de territoires. </w:t>
      </w:r>
      <w:r/>
    </w:p>
    <w:p>
      <w:pPr>
        <w:jc w:val="both"/>
        <w:rPr>
          <w:color w:val="0e233d"/>
        </w:rPr>
      </w:pPr>
      <w:r>
        <w:t xml:space="preserve">Par ailleurs, les nouvelles technologies numériques offrent un gisement d’amélioration de l’exploitation ferroviaire, de baisse de ses coûts et de renforcement de la sécurité. Ces nouvelles technologies ou solutio</w:t>
      </w:r>
      <w:r>
        <w:t xml:space="preserve">ns sont issues notamment de la 5G, des technologies satellitaires ou de l’</w:t>
      </w:r>
      <w:r>
        <w:t xml:space="preserve">IoT</w:t>
      </w:r>
      <w:r>
        <w:t xml:space="preserve">. </w:t>
      </w:r>
      <w:r>
        <w:rPr>
          <w:color w:val="0e233d"/>
        </w:rPr>
        <w:t xml:space="preserve">L’objectif de la stratégie est de favoriser la démonstration puis la diffusion des solutions d’automatisation en visant l’ensemble des opérations de fret ferroviaire et la gesti</w:t>
      </w:r>
      <w:r>
        <w:rPr>
          <w:color w:val="0e233d"/>
        </w:rPr>
        <w:t xml:space="preserve">on des flux associés et de digitalisation en visant des services innovants. </w:t>
      </w:r>
      <w:r/>
    </w:p>
    <w:p>
      <w:pPr>
        <w:jc w:val="both"/>
      </w:pPr>
      <w:r>
        <w:rPr>
          <w:b/>
          <w:u w:val="single"/>
        </w:rPr>
        <w:t xml:space="preserve">Axe 2 :</w:t>
      </w:r>
      <w:r>
        <w:rPr>
          <w:b/>
        </w:rPr>
        <w:t xml:space="preserve"> Optimiser, sécuriser et </w:t>
      </w:r>
      <w:r>
        <w:rPr>
          <w:b/>
        </w:rPr>
        <w:t xml:space="preserve">décarboner</w:t>
      </w:r>
      <w:r>
        <w:rPr>
          <w:b/>
        </w:rPr>
        <w:t xml:space="preserve"> les transports massifiés et leurs interfaces multimodales</w:t>
      </w:r>
      <w:r>
        <w:t xml:space="preserve"> </w:t>
      </w:r>
      <w:r>
        <w:rPr>
          <w:color w:val="0e233d"/>
        </w:rPr>
        <w:t xml:space="preserve">La compétitivité et l’attractivité de la chaine logistique suppose de lever un</w:t>
      </w:r>
      <w:r>
        <w:rPr>
          <w:color w:val="0e233d"/>
        </w:rPr>
        <w:t xml:space="preserve"> verrou important : la numérisation et l’automatisation des procédures et opérations de la chaine logistique multimodale dans une conception d’intégration sans couture de bout en bout de la </w:t>
      </w:r>
      <w:r>
        <w:rPr>
          <w:color w:val="0e233d"/>
        </w:rPr>
        <w:t xml:space="preserve">supply</w:t>
      </w:r>
      <w:r>
        <w:rPr>
          <w:color w:val="0e233d"/>
        </w:rPr>
        <w:t xml:space="preserve"> </w:t>
      </w:r>
      <w:r>
        <w:rPr>
          <w:color w:val="0e233d"/>
        </w:rPr>
        <w:t xml:space="preserve">chain</w:t>
      </w:r>
      <w:r>
        <w:rPr>
          <w:color w:val="0e233d"/>
        </w:rPr>
        <w:t xml:space="preserve">, conditions nécessaires à son attractivité et à sa co</w:t>
      </w:r>
      <w:r>
        <w:rPr>
          <w:color w:val="0e233d"/>
        </w:rPr>
        <w:t xml:space="preserve">mpétitivité globale. </w:t>
      </w:r>
      <w:r/>
    </w:p>
    <w:p>
      <w:pPr>
        <w:jc w:val="both"/>
        <w:rPr>
          <w:color w:val="0e233d"/>
        </w:rPr>
      </w:pPr>
      <w:r>
        <w:rPr>
          <w:b/>
          <w:u w:val="single"/>
        </w:rPr>
        <w:t xml:space="preserve">Axe 3 :</w:t>
      </w:r>
      <w:r>
        <w:rPr>
          <w:b/>
        </w:rPr>
        <w:t xml:space="preserve"> Développer de nouvelles offres de transports par l’automatisation et la </w:t>
      </w:r>
      <w:r>
        <w:rPr>
          <w:b/>
        </w:rPr>
        <w:t xml:space="preserve">décarbonation</w:t>
      </w:r>
      <w:r>
        <w:rPr>
          <w:b/>
        </w:rPr>
        <w:t xml:space="preserve"> </w:t>
      </w:r>
      <w:r>
        <w:rPr>
          <w:color w:val="0e233d"/>
        </w:rPr>
        <w:t xml:space="preserve">La mesure vise à soutenir le développement d’une offre souveraine de systèmes, composants et services sur les briques technologiques où des </w:t>
      </w:r>
      <w:r>
        <w:rPr>
          <w:color w:val="0e233d"/>
        </w:rPr>
        <w:t xml:space="preserve">acteurs français sont déjà positionnés et en mesure d’offrir des solutions compétitives et sur les briques technologiques où une offre tarde à émerger en France et en Europe. </w:t>
      </w:r>
      <w:r/>
    </w:p>
    <w:p>
      <w:pPr>
        <w:pStyle w:val="953"/>
        <w:jc w:val="both"/>
        <w:rPr>
          <w:rFonts w:asciiTheme="minorHAnsi" w:hAnsiTheme="minorHAnsi" w:cstheme="minorHAnsi"/>
        </w:rPr>
      </w:pPr>
      <w:r>
        <w:rPr>
          <w:rFonts w:asciiTheme="minorHAnsi" w:hAnsiTheme="minorHAnsi" w:cstheme="minorHAnsi"/>
        </w:rPr>
      </w:r>
      <w:r/>
    </w:p>
    <w:p>
      <w:pPr>
        <w:pStyle w:val="953"/>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5" w:tooltip="https://agirpourlatransition.ademe.fr/entreprises/aides-financieres/20211021/logistique2021-188" w:history="1">
        <w:r>
          <w:rPr>
            <w:rStyle w:val="952"/>
            <w:rFonts w:asciiTheme="minorHAnsi" w:hAnsiTheme="minorHAnsi" w:cstheme="minorHAnsi"/>
            <w:b/>
            <w:bCs/>
          </w:rPr>
          <w:t xml:space="preserve">l’AMI Logistique 4.0</w:t>
        </w:r>
      </w:hyperlink>
      <w:r>
        <w:rPr>
          <w:rFonts w:asciiTheme="minorHAnsi" w:hAnsiTheme="minorHAnsi" w:cstheme="minorHAnsi"/>
          <w:b/>
          <w:bCs/>
        </w:rPr>
        <w:t xml:space="preserve"> , </w:t>
      </w:r>
      <w:hyperlink r:id="rId16" w:tooltip="https://www.ecologie.gouv.fr/mobilite-routiere-automatisee-et-connectee" w:history="1">
        <w:r>
          <w:rPr>
            <w:rStyle w:val="952"/>
            <w:rFonts w:asciiTheme="minorHAnsi" w:hAnsiTheme="minorHAnsi" w:cstheme="minorHAnsi"/>
            <w:b/>
            <w:bCs/>
          </w:rPr>
          <w:t xml:space="preserve">la stratégie nationale sur la mobilité automatisée et connectée</w:t>
        </w:r>
      </w:hyperlink>
      <w:r>
        <w:rPr>
          <w:rFonts w:asciiTheme="minorHAnsi" w:hAnsiTheme="minorHAnsi" w:cstheme="minorHAnsi"/>
          <w:b/>
          <w:bCs/>
        </w:rPr>
        <w:t xml:space="preserve">, </w:t>
      </w:r>
      <w:hyperlink r:id="rId17" w:tooltip="https://www.bpifrance.fr/nos-appels-a-projets-concours/appel-a-projets-mobilites-routieres-automatisees-infrastructures-de-services-connectees-et-bas-carbone" w:history="1">
        <w:r>
          <w:rPr>
            <w:rStyle w:val="952"/>
            <w:rFonts w:asciiTheme="minorHAnsi" w:hAnsiTheme="minorHAnsi" w:cstheme="minorHAnsi"/>
            <w:b/>
            <w:bCs/>
          </w:rPr>
          <w:t xml:space="preserve">l’AMI Mobilités routières automatisées, infrastructures de services connectées et </w:t>
        </w:r>
        <w:r>
          <w:rPr>
            <w:rStyle w:val="952"/>
            <w:rFonts w:asciiTheme="minorHAnsi" w:hAnsiTheme="minorHAnsi" w:cstheme="minorHAnsi"/>
            <w:b/>
            <w:bCs/>
          </w:rPr>
          <w:t xml:space="preserve">bas carbone</w:t>
        </w:r>
      </w:hyperlink>
      <w:r>
        <w:rPr>
          <w:rFonts w:asciiTheme="minorHAnsi" w:hAnsiTheme="minorHAnsi" w:cstheme="minorHAnsi"/>
          <w:b/>
          <w:bCs/>
        </w:rPr>
        <w:t xml:space="preserve"> et le volet Mobilité du </w:t>
      </w:r>
      <w:hyperlink r:id="rId18" w:tooltip="https://www.bpifrance.fr/nos-appels-a-projets-concours/appel-a-projets-coram-2022" w:history="1">
        <w:r>
          <w:rPr>
            <w:rStyle w:val="952"/>
            <w:rFonts w:asciiTheme="minorHAnsi" w:hAnsiTheme="minorHAnsi" w:cstheme="minorHAnsi"/>
            <w:b/>
            <w:bCs/>
          </w:rPr>
          <w:t xml:space="preserve">CORAM</w:t>
        </w:r>
      </w:hyperlink>
      <w:r>
        <w:rPr>
          <w:rFonts w:asciiTheme="minorHAnsi" w:hAnsiTheme="minorHAnsi" w:cstheme="minorHAnsi"/>
          <w:b/>
        </w:rPr>
        <w:t xml:space="preserve"> concentrent des sujets d’intérêt fort pour le SGPI. </w:t>
      </w:r>
      <w:r/>
    </w:p>
    <w:p>
      <w:r>
        <w:br w:type="page" w:clear="all"/>
      </w:r>
      <w:r/>
    </w:p>
    <w:p>
      <w:pPr>
        <w:pStyle w:val="754"/>
        <w:numPr>
          <w:ilvl w:val="0"/>
          <w:numId w:val="0"/>
        </w:numPr>
        <w:ind w:left="720"/>
        <w:rPr>
          <w:b/>
        </w:rPr>
      </w:pPr>
      <w:r>
        <w:rPr>
          <w:b/>
        </w:rPr>
        <w:t xml:space="preserve">Objectifs de développement durable (ODD)</w:t>
      </w:r>
      <w:r/>
    </w:p>
    <w:p>
      <w:pPr>
        <w:jc w:val="both"/>
      </w:pPr>
      <w:r>
        <w:t xml:space="preserve">Les </w:t>
      </w:r>
      <w:r>
        <w:rPr>
          <w:b/>
        </w:rPr>
        <w:t xml:space="preserve">Objectifs de développement durable</w:t>
      </w:r>
      <w:r>
        <w:t xml:space="preserve"> (ODD), également nommés Objectifs mondiaux, ont été adoptés par les Nations Unies en 2015. Les 17 ODD sont intégrés - reconnaissant que les interventions dans un domaine affecteront les résultats dans d'autres et que le d</w:t>
      </w:r>
      <w:r>
        <w:t xml:space="preserve">éveloppement doit équilibrer les aspects sociaux, économiques et environnementaux. Parmi les 17 ODD, 5 sont particulièrement ciblés dans </w:t>
      </w:r>
      <w:r>
        <w:t xml:space="preserve">Sci-ty</w:t>
      </w:r>
      <w:r>
        <w:t xml:space="preserve"> :</w:t>
      </w:r>
      <w:r/>
    </w:p>
    <w:p>
      <w:pPr>
        <w:pStyle w:val="944"/>
        <w:numPr>
          <w:ilvl w:val="0"/>
          <w:numId w:val="26"/>
        </w:numPr>
        <w:jc w:val="both"/>
      </w:pPr>
      <w:r>
        <w:t xml:space="preserve">Assurer un accès universel, sûr et équitable à l’eau potable </w:t>
      </w:r>
      <w:r>
        <w:rPr>
          <w:b/>
          <w:i/>
        </w:rPr>
        <w:t xml:space="preserve">(ODD6)</w:t>
      </w:r>
      <w:r/>
    </w:p>
    <w:p>
      <w:pPr>
        <w:pStyle w:val="944"/>
        <w:numPr>
          <w:ilvl w:val="0"/>
          <w:numId w:val="26"/>
        </w:numPr>
        <w:jc w:val="both"/>
      </w:pPr>
      <w:r>
        <w:t xml:space="preserve">Investir durablement dans les infrastructu</w:t>
      </w:r>
      <w:r>
        <w:t xml:space="preserve">res publiques, les énergies renouvelables et l’innovation pour les nouvelles industries </w:t>
      </w:r>
      <w:r>
        <w:rPr>
          <w:b/>
          <w:i/>
        </w:rPr>
        <w:t xml:space="preserve">(ODD9)</w:t>
      </w:r>
      <w:r/>
    </w:p>
    <w:p>
      <w:pPr>
        <w:pStyle w:val="944"/>
        <w:numPr>
          <w:ilvl w:val="0"/>
          <w:numId w:val="26"/>
        </w:numPr>
        <w:jc w:val="both"/>
      </w:pPr>
      <w:r>
        <w:t xml:space="preserve">Construction et gestion durable des espaces urbains et d’une économie participative, inclusive résiliente </w:t>
      </w:r>
      <w:r>
        <w:rPr>
          <w:b/>
          <w:i/>
        </w:rPr>
        <w:t xml:space="preserve">(ODD11)</w:t>
      </w:r>
      <w:r/>
    </w:p>
    <w:p>
      <w:pPr>
        <w:pStyle w:val="944"/>
        <w:numPr>
          <w:ilvl w:val="0"/>
          <w:numId w:val="26"/>
        </w:numPr>
        <w:jc w:val="both"/>
      </w:pPr>
      <w:r>
        <w:t xml:space="preserve">Réduction d’urgence de notre empreinte écologique en modifiant notre façon de produire et de consommer les biens et ressources </w:t>
      </w:r>
      <w:r>
        <w:rPr>
          <w:b/>
          <w:i/>
        </w:rPr>
        <w:t xml:space="preserve">(ODD12)</w:t>
      </w:r>
      <w:r/>
    </w:p>
    <w:p>
      <w:pPr>
        <w:pStyle w:val="944"/>
        <w:numPr>
          <w:ilvl w:val="0"/>
          <w:numId w:val="26"/>
        </w:numPr>
        <w:jc w:val="both"/>
      </w:pPr>
      <w:r>
        <w:t xml:space="preserve">Contribuer collectivement à s’adapter au changement climatique et investir pour un développement à faible émission de car</w:t>
      </w:r>
      <w:r>
        <w:t xml:space="preserve">bone avec un soutien aux régions vulnérables </w:t>
      </w:r>
      <w:r>
        <w:rPr>
          <w:b/>
          <w:i/>
        </w:rPr>
        <w:t xml:space="preserve">(ODD13)</w:t>
      </w:r>
      <w:r/>
    </w:p>
    <w:p>
      <w:pPr>
        <w:jc w:val="center"/>
        <w:keepNext/>
      </w:pPr>
      <w:r>
        <w:rPr>
          <w:lang w:eastAsia="fr-FR"/>
        </w:rPr>
        <mc:AlternateContent>
          <mc:Choice Requires="wpg">
            <w:drawing>
              <wp:inline xmlns:wp="http://schemas.openxmlformats.org/drawingml/2006/wordprocessingDrawing" distT="0" distB="0" distL="0" distR="0">
                <wp:extent cx="5067300" cy="255205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r/>
                      </pic:nvPicPr>
                      <pic:blipFill>
                        <a:blip r:embed="rId19"/>
                        <a:stretch/>
                      </pic:blipFill>
                      <pic:spPr bwMode="auto">
                        <a:xfrm>
                          <a:off x="0" y="0"/>
                          <a:ext cx="5098263" cy="25676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99.0pt;height:200.9pt;mso-wrap-distance-left:0.0pt;mso-wrap-distance-top:0.0pt;mso-wrap-distance-right:0.0pt;mso-wrap-distance-bottom:0.0pt;" stroked="false">
                <v:path textboxrect="0,0,0,0"/>
                <v:imagedata r:id="rId19" o:title=""/>
              </v:shape>
            </w:pict>
          </mc:Fallback>
        </mc:AlternateContent>
      </w:r>
      <w:r/>
    </w:p>
    <w:p>
      <w:pPr>
        <w:pStyle w:val="951"/>
        <w:rPr>
          <w:b/>
          <w:bCs/>
          <w:sz w:val="40"/>
          <w:szCs w:val="40"/>
        </w:rPr>
      </w:pPr>
      <w:r>
        <w:t xml:space="preserve">Objectifs de développement durable (ODD), adaptés de la publication des Nations unies (2015). Parmi les 17 ODD, 5 concernant particulièrement le projet </w:t>
      </w:r>
      <w:r>
        <w:t xml:space="preserve">Sci-ty</w:t>
      </w:r>
      <w:r>
        <w:t xml:space="preserve"> sont encadrés en jaune.</w:t>
      </w:r>
      <w:bookmarkStart w:id="1" w:name="_GoBack"/>
      <w:r/>
      <w:bookmarkEnd w:id="1"/>
      <w:r/>
      <w:r>
        <w:rPr>
          <w:b/>
          <w:bCs/>
          <w:sz w:val="40"/>
          <w:szCs w:val="40"/>
        </w:rPr>
      </w:r>
    </w:p>
    <w:p>
      <w:pPr>
        <w:pStyle w:val="754"/>
        <w:numPr>
          <w:ilvl w:val="0"/>
          <w:numId w:val="0"/>
        </w:numPr>
        <w:ind w:left="720"/>
        <w:rPr>
          <w:rFonts w:asciiTheme="majorHAnsi" w:hAnsiTheme="majorHAnsi" w:eastAsiaTheme="majorEastAsia" w:cstheme="majorBidi"/>
          <w:b/>
          <w:bCs/>
          <w:color w:val="2e74b5" w:themeColor="accent1" w:themeShade="BF"/>
          <w:sz w:val="26"/>
          <w:szCs w:val="26"/>
        </w:rPr>
      </w:pPr>
      <w:r>
        <w:rPr>
          <w:rFonts w:asciiTheme="majorHAnsi" w:hAnsiTheme="majorHAnsi" w:eastAsiaTheme="majorEastAsia" w:cstheme="majorBidi"/>
          <w:b/>
          <w:color w:val="2e74b5" w:themeColor="accent1" w:themeShade="BF"/>
          <w:sz w:val="26"/>
          <w:szCs w:val="26"/>
        </w:rPr>
      </w:r>
      <w:r>
        <w:rPr>
          <w:b/>
        </w:rPr>
        <w:t xml:space="preserve">Taxonomie verte </w:t>
      </w:r>
      <w:r>
        <w:rPr>
          <w:b/>
        </w:rPr>
        <w:t xml:space="preserve">européenn</w:t>
      </w:r>
      <w:r>
        <w:rPr>
          <w:b/>
          <w:bCs/>
        </w:rPr>
        <w:t xml:space="preserve">e</w:t>
      </w:r>
      <w:r>
        <w:rPr>
          <w:rStyle w:val="924"/>
          <w:b/>
          <w:bCs/>
        </w:rPr>
        <w:footnoteReference w:id="2"/>
      </w:r>
      <w:r>
        <w:rPr>
          <w:b/>
          <w:bCs/>
        </w:rPr>
        <w:t xml:space="preserve"> : critères de performance environnementale</w:t>
      </w:r>
      <w:r/>
      <w:r>
        <w:rPr>
          <w:rFonts w:asciiTheme="majorHAnsi" w:hAnsiTheme="majorHAnsi" w:eastAsiaTheme="majorEastAsia" w:cstheme="majorBidi"/>
          <w:b/>
          <w:color w:val="2e74b5" w:themeColor="accent1" w:themeShade="BF"/>
          <w:sz w:val="26"/>
          <w:szCs w:val="26"/>
        </w:rPr>
      </w:r>
    </w:p>
    <w:p>
      <w:pPr>
        <w:jc w:val="both"/>
      </w:pPr>
      <w:r>
        <w:t xml:space="preserve">Au 1er janvier 2022, dans le cadre du pacte vert pour l’Europe (</w:t>
      </w:r>
      <w:r>
        <w:rPr>
          <w:i/>
        </w:rPr>
        <w:t xml:space="preserve">Green Deal</w:t>
      </w:r>
      <w:r>
        <w:t xml:space="preserve">), l’Union européenne a pris d’importantes mesures pour construire un </w:t>
      </w:r>
      <w:r>
        <w:rPr>
          <w:b/>
        </w:rPr>
        <w:t xml:space="preserve">écosystème de finance durable</w:t>
      </w:r>
      <w:r>
        <w:t xml:space="preserve">. Elle est une </w:t>
      </w:r>
      <w:r>
        <w:rPr>
          <w:b/>
        </w:rPr>
        <w:t xml:space="preserve">classification</w:t>
      </w:r>
      <w:r>
        <w:rPr>
          <w:b/>
        </w:rPr>
        <w:t xml:space="preserve"> standardisée des activités économiques</w:t>
      </w:r>
      <w:r>
        <w:t xml:space="preserve"> contribuant substantiellement à la réalisation </w:t>
      </w:r>
      <w:r>
        <w:rPr>
          <w:b/>
        </w:rPr>
        <w:t xml:space="preserve">d’objectifs environnementaux selon des critères scientifiques</w:t>
      </w:r>
      <w:r>
        <w:t xml:space="preserve">. </w:t>
      </w:r>
      <w:r/>
    </w:p>
    <w:p>
      <w:pPr>
        <w:jc w:val="both"/>
        <w:rPr>
          <w:b/>
        </w:rPr>
      </w:pPr>
      <w:r>
        <w:rPr>
          <w:b/>
        </w:rPr>
        <w:t xml:space="preserve">La taxonomie européenne sous-tendra la commande publique à partir de 2026. Elle doit donc servir de cap a</w:t>
      </w:r>
      <w:r>
        <w:rPr>
          <w:b/>
        </w:rPr>
        <w:t xml:space="preserve">ux innovations dans le domaine de la ville et de la mobilité, qui par essence répondent à la commande publique. </w:t>
      </w:r>
      <w:r/>
    </w:p>
    <w:p>
      <w:pPr>
        <w:jc w:val="both"/>
      </w:pPr>
      <w:r>
        <w:t xml:space="preserve">Pour s’aligner sur la taxonomie, les activités économiques éligibles des organisations et les investissements des institutions financières doiv</w:t>
      </w:r>
      <w:r>
        <w:t xml:space="preserve">ent </w:t>
      </w:r>
      <w:r>
        <w:rPr>
          <w:b/>
        </w:rPr>
        <w:t xml:space="preserve">contribuer substantiellement à au moins un des six objectifs environnementaux</w:t>
      </w:r>
      <w:r>
        <w:t xml:space="preserve"> suivants, sans nuire aux autres (</w:t>
      </w:r>
      <w:r>
        <w:rPr>
          <w:i/>
        </w:rPr>
        <w:t xml:space="preserve">Do no </w:t>
      </w:r>
      <w:r>
        <w:rPr>
          <w:i/>
        </w:rPr>
        <w:t xml:space="preserve">significant</w:t>
      </w:r>
      <w:r>
        <w:rPr>
          <w:i/>
        </w:rPr>
        <w:t xml:space="preserve"> </w:t>
      </w:r>
      <w:r>
        <w:rPr>
          <w:i/>
        </w:rPr>
        <w:t xml:space="preserve">harm</w:t>
      </w:r>
      <w:r>
        <w:t xml:space="preserve">) :</w:t>
      </w:r>
      <w:r/>
    </w:p>
    <w:p>
      <w:pPr>
        <w:pStyle w:val="944"/>
        <w:numPr>
          <w:ilvl w:val="0"/>
          <w:numId w:val="25"/>
        </w:numPr>
        <w:jc w:val="both"/>
      </w:pPr>
      <w:r>
        <w:t xml:space="preserve">Atténuation du changement climatique : l’impact d’une organisation sur le changement climatique</w:t>
      </w:r>
      <w:r/>
    </w:p>
    <w:p>
      <w:pPr>
        <w:pStyle w:val="944"/>
        <w:numPr>
          <w:ilvl w:val="0"/>
          <w:numId w:val="25"/>
        </w:numPr>
        <w:jc w:val="both"/>
      </w:pPr>
      <w:r>
        <w:t xml:space="preserve">Adaptation au changement climatique : l’impact du changement climatique sur une organisation</w:t>
      </w:r>
      <w:r/>
    </w:p>
    <w:p>
      <w:pPr>
        <w:pStyle w:val="944"/>
        <w:numPr>
          <w:ilvl w:val="0"/>
          <w:numId w:val="25"/>
        </w:numPr>
        <w:jc w:val="both"/>
      </w:pPr>
      <w:r>
        <w:t xml:space="preserve">Utilisation durable et la protection des ressources aquatiques et marines</w:t>
      </w:r>
      <w:r/>
    </w:p>
    <w:p>
      <w:pPr>
        <w:pStyle w:val="944"/>
        <w:numPr>
          <w:ilvl w:val="0"/>
          <w:numId w:val="25"/>
        </w:numPr>
        <w:jc w:val="both"/>
      </w:pPr>
      <w:r>
        <w:t xml:space="preserve">Transition vers une économie circulaire</w:t>
      </w:r>
      <w:r/>
    </w:p>
    <w:p>
      <w:pPr>
        <w:pStyle w:val="944"/>
        <w:numPr>
          <w:ilvl w:val="0"/>
          <w:numId w:val="25"/>
        </w:numPr>
        <w:jc w:val="both"/>
      </w:pPr>
      <w:r>
        <w:t xml:space="preserve">Prévention et réduction de la pollution</w:t>
      </w:r>
      <w:r/>
    </w:p>
    <w:p>
      <w:pPr>
        <w:pStyle w:val="944"/>
        <w:numPr>
          <w:ilvl w:val="0"/>
          <w:numId w:val="25"/>
        </w:numPr>
        <w:jc w:val="both"/>
      </w:pPr>
      <w:r>
        <w:t xml:space="preserve">Protectio</w:t>
      </w:r>
      <w:r>
        <w:t xml:space="preserve">n et restauration de la biodiversité et des écosystèmes.</w:t>
      </w:r>
      <w:r/>
    </w:p>
    <w:p>
      <w:pPr>
        <w:pStyle w:val="754"/>
        <w:numPr>
          <w:ilvl w:val="0"/>
          <w:numId w:val="0"/>
        </w:numPr>
        <w:ind w:left="720"/>
        <w:rPr>
          <w:b/>
          <w:bCs/>
        </w:rPr>
      </w:pPr>
      <w:r>
        <w:rPr>
          <w:b/>
        </w:rPr>
        <w:t xml:space="preserve">Echelle TRL (Technologie </w:t>
      </w:r>
      <w:r>
        <w:rPr>
          <w:b/>
        </w:rPr>
        <w:t xml:space="preserve">Readiness</w:t>
      </w:r>
      <w:r>
        <w:rPr>
          <w:b/>
        </w:rPr>
        <w:t xml:space="preserve"> </w:t>
      </w:r>
      <w:r>
        <w:rPr>
          <w:b/>
        </w:rPr>
        <w:t xml:space="preserve">Level</w:t>
      </w:r>
      <w:r>
        <w:rPr>
          <w:b/>
        </w:rPr>
        <w:t xml:space="preserve">) :</w:t>
      </w:r>
      <w:r/>
    </w:p>
    <w:p>
      <w:r/>
      <w:r/>
    </w:p>
    <w:p>
      <w:pPr>
        <w:jc w:val="center"/>
        <w:keepNext/>
      </w:pPr>
      <w:r>
        <w:rPr>
          <w:lang w:eastAsia="fr-FR"/>
        </w:rPr>
        <mc:AlternateContent>
          <mc:Choice Requires="wpg">
            <w:drawing>
              <wp:inline xmlns:wp="http://schemas.openxmlformats.org/drawingml/2006/wordprocessingDrawing" distT="0" distB="0" distL="0" distR="0">
                <wp:extent cx="4595324" cy="2263140"/>
                <wp:effectExtent l="0" t="0" r="0" b="381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0"/>
                        <a:srcRect l="0" t="12424" r="0" b="0"/>
                        <a:stretch/>
                      </pic:blipFill>
                      <pic:spPr bwMode="auto">
                        <a:xfrm>
                          <a:off x="0" y="0"/>
                          <a:ext cx="4623894" cy="22772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61.8pt;height:178.2pt;mso-wrap-distance-left:0.0pt;mso-wrap-distance-top:0.0pt;mso-wrap-distance-right:0.0pt;mso-wrap-distance-bottom:0.0pt;" stroked="f">
                <v:path textboxrect="0,0,0,0"/>
                <v:imagedata r:id="rId20" o:title=""/>
              </v:shape>
            </w:pict>
          </mc:Fallback>
        </mc:AlternateContent>
      </w:r>
      <w:r/>
    </w:p>
    <w:p>
      <w:pPr>
        <w:pStyle w:val="951"/>
        <w:jc w:val="center"/>
      </w:pPr>
      <w:r>
        <w:t xml:space="preserve">Echelle TRL adaptée de la publication sur le site Horizon 2020 du Ministère de l’Enseignement Supérieur, de la Recherche et de l’Innovation</w:t>
      </w:r>
      <w:r/>
    </w:p>
    <w:p>
      <w:pPr>
        <w:jc w:val="both"/>
      </w:pPr>
      <w:r>
        <w:t xml:space="preserve">L’échelle TRL (</w:t>
      </w:r>
      <w:r>
        <w:t xml:space="preserve">Technology</w:t>
      </w:r>
      <w:r>
        <w:t xml:space="preserve"> </w:t>
      </w:r>
      <w:r>
        <w:t xml:space="preserve">Readiness</w:t>
      </w:r>
      <w:r>
        <w:t xml:space="preserve"> </w:t>
      </w:r>
      <w:r>
        <w:t xml:space="preserve">Level</w:t>
      </w:r>
      <w:r>
        <w:t xml:space="preserve">) donne un niveau de maturité technologique depuis l’observation du concept de base jusqu’à l’introduction en marché d’une technologie. Elle comporte 9 niveaux notés TRL1 (faible maturité) à TRL9 (maturité élevée), regroupés en 3 p</w:t>
      </w:r>
      <w:r>
        <w:t xml:space="preserve">hases. La </w:t>
      </w:r>
      <w:r>
        <w:t xml:space="preserve">prématuration</w:t>
      </w:r>
      <w:r>
        <w:t xml:space="preserve"> vise à atteindre la preuve de concept (</w:t>
      </w:r>
      <w:r>
        <w:t xml:space="preserve">PoC</w:t>
      </w:r>
      <w:r>
        <w:t xml:space="preserve">) en TRL 3.</w:t>
      </w:r>
      <w:r/>
    </w:p>
    <w:sectPr>
      <w:headerReference w:type="default" r:id="rId9"/>
      <w:footerReference w:type="default" r:id="rId10"/>
      <w:footnotePr/>
      <w:endnotePr/>
      <w:type w:val="nextPage"/>
      <w:pgSz w:w="11906" w:h="16838" w:orient="portrait"/>
      <w:pgMar w:top="1440" w:right="1080" w:bottom="1440" w:left="1080"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panose1 w:val="020B06060303040B0204"/>
  </w:font>
  <w:font w:name="Segoe UI Symbol">
    <w:panose1 w:val="020B0502040504020204"/>
  </w:font>
  <w:font w:name="Calibri">
    <w:panose1 w:val="020F0502020204030204"/>
  </w:font>
  <w:font w:name="Wingdings">
    <w:panose1 w:val="05010000000000000000"/>
  </w:font>
  <w:font w:name="Courier New">
    <w:panose1 w:val="02070309020205020404"/>
  </w:font>
  <w:font w:name="Symbol">
    <w:panose1 w:val="05010000000000000000"/>
  </w:font>
  <w:font w:name="Cambria">
    <w:panose1 w:val="02020603050405020304"/>
  </w:font>
  <w:font w:name="Segoe UI">
    <w:panose1 w:val="020B0502040504020204"/>
  </w:font>
  <w:font w:name="Times New Roman">
    <w:panose1 w:val="020206030504050203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612309674"/>
      <w:docPartObj>
        <w:docPartGallery w:val="Page Numbers (Bottom of Page)"/>
        <w:docPartUnique w:val="true"/>
      </w:docPartObj>
      <w:rPr/>
    </w:sdtPr>
    <w:sdtContent>
      <w:p>
        <w:pPr>
          <w:pStyle w:val="949"/>
          <w:jc w:val="right"/>
        </w:pPr>
        <w:r>
          <w:fldChar w:fldCharType="begin"/>
        </w:r>
        <w:r>
          <w:instrText xml:space="preserve">PAGE   \* MERGEFORMAT</w:instrText>
        </w:r>
        <w:r>
          <w:fldChar w:fldCharType="separate"/>
        </w:r>
        <w:r>
          <w:t xml:space="preserve">10</w:t>
        </w:r>
        <w:r>
          <w:fldChar w:fldCharType="end"/>
        </w:r>
        <w:r/>
      </w:p>
    </w:sdtContent>
  </w:sdt>
  <w:p>
    <w:pPr>
      <w:pStyle w:val="949"/>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 w:id="2">
    <w:p>
      <w:pPr>
        <w:jc w:val="both"/>
        <w:spacing w:after="0" w:line="240" w:lineRule="auto"/>
        <w:rPr>
          <w:sz w:val="16"/>
          <w:szCs w:val="16"/>
        </w:rPr>
      </w:pPr>
      <w:r>
        <w:rPr>
          <w:rStyle w:val="924"/>
        </w:rPr>
        <w:footnoteRef/>
      </w:r>
      <w:r>
        <w:t xml:space="preserve"> </w:t>
      </w:r>
      <w:hyperlink r:id="rId1" w:tooltip="https://eco-act.com/fr/finance-durable/taxonomie-verte-europeenne/" w:history="1">
        <w:r>
          <w:rPr>
            <w:rStyle w:val="952"/>
            <w:sz w:val="16"/>
            <w:szCs w:val="16"/>
          </w:rPr>
          <w:t xml:space="preserve">https://eco-act.com/fr/finance-durable/taxonomie-verte-europeenne/</w:t>
        </w:r>
      </w:hyperlink>
      <w:r/>
      <w:r/>
      <w:r>
        <w:rPr>
          <w:sz w:val="16"/>
          <w:szCs w:val="16"/>
        </w:rPr>
      </w:r>
    </w:p>
    <w:p>
      <w:pPr>
        <w:pStyle w:val="922"/>
        <w:spacing w:after="0"/>
      </w:pPr>
      <w:r/>
      <w:hyperlink r:id="rId2" w:tooltip="https://anr.fr/fr/detail/call/maturation-pre-maturation-appel-a-propositions/" w:history="1">
        <w:r>
          <w:rPr>
            <w:rStyle w:val="952"/>
            <w:sz w:val="16"/>
            <w:szCs w:val="16"/>
          </w:rPr>
          <w:t xml:space="preserve">https://anr.fr/fr/detail/call/maturation-pre-maturation-appel-a-propositions/</w:t>
        </w:r>
      </w:hyperlink>
      <w: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47"/>
    </w:pP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margin">
                <wp:align>center</wp:align>
              </wp:positionH>
              <wp:positionV relativeFrom="page">
                <wp:posOffset>111097</wp:posOffset>
              </wp:positionV>
              <wp:extent cx="1206161" cy="695325"/>
              <wp:effectExtent l="0" t="0" r="0" b="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1"/>
                      <a:srcRect l="0" t="426" r="0" b="0"/>
                      <a:stretch/>
                    </pic:blipFill>
                    <pic:spPr bwMode="auto">
                      <a:xfrm>
                        <a:off x="0" y="0"/>
                        <a:ext cx="1206161" cy="6953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3360;o:allowoverlap:true;o:allowincell:true;mso-position-horizontal-relative:margin;mso-position-horizontal:center;mso-position-vertical-relative:page;margin-top:8.7pt;mso-position-vertical:absolute;width:95.0pt;height:54.8pt;mso-wrap-distance-left:9.0pt;mso-wrap-distance-top:0.0pt;mso-wrap-distance-right:9.0pt;mso-wrap-distance-bottom:0.0pt;" stroked="f">
              <v:path textboxrect="0,0,0,0"/>
              <w10:wrap type="square"/>
              <v:imagedata r:id="rId1" o:title=""/>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
    <w:multiLevelType w:val="hybridMultilevel"/>
    <w:lvl w:ilvl="0">
      <w:start w:val="1"/>
      <w:numFmt w:val="upperLetter"/>
      <w:pStyle w:val="753"/>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upp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6">
    <w:multiLevelType w:val="hybridMultilevel"/>
    <w:lvl w:ilvl="0">
      <w:start w:val="1"/>
      <w:numFmt w:val="bullet"/>
      <w:isLgl w:val="false"/>
      <w:suff w:val="tab"/>
      <w:lvlText w:val=""/>
      <w:lvlJc w:val="left"/>
      <w:pPr>
        <w:ind w:left="1440" w:hanging="360"/>
      </w:pPr>
      <w:rPr>
        <w:rFonts w:hint="default" w:ascii="Wingdings" w:hAnsi="Wingdings"/>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7">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1440" w:hanging="360"/>
      </w:pPr>
      <w:rPr>
        <w:rFonts w:hint="default" w:ascii="Wingdings" w:hAnsi="Wingdings"/>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9">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10">
    <w:multiLevelType w:val="hybridMultilevel"/>
    <w:lvl w:ilvl="0">
      <w:start w:val="5"/>
      <w:numFmt w:val="bullet"/>
      <w:isLgl w:val="false"/>
      <w:suff w:val="tab"/>
      <w:lvlText w:val="-"/>
      <w:lvlJc w:val="left"/>
      <w:pPr>
        <w:ind w:left="720" w:hanging="360"/>
      </w:pPr>
      <w:rPr>
        <w:rFonts w:hint="default" w:ascii="Calibri" w:hAnsi="Calibri" w:cs="Calibri"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
    <w:multiLevelType w:val="hybridMultilevel"/>
    <w:lvl w:ilvl="0">
      <w:start w:val="1"/>
      <w:numFmt w:val="bullet"/>
      <w:isLgl w:val="false"/>
      <w:suff w:val="tab"/>
      <w:lvlText w:val=""/>
      <w:lvlJc w:val="left"/>
      <w:pPr>
        <w:ind w:left="360" w:hanging="360"/>
      </w:pPr>
      <w:rPr>
        <w:rFonts w:hint="default" w:ascii="Symbol" w:hAnsi="Symbol"/>
      </w:rPr>
    </w:lvl>
    <w:lvl w:ilvl="1">
      <w:start w:val="1"/>
      <w:numFmt w:val="bullet"/>
      <w:isLgl w:val="false"/>
      <w:suff w:val="tab"/>
      <w:lvlText w:val="o"/>
      <w:lvlJc w:val="left"/>
      <w:pPr>
        <w:ind w:left="1080" w:hanging="360"/>
      </w:pPr>
      <w:rPr>
        <w:rFonts w:hint="default" w:ascii="Courier New" w:hAnsi="Courier New" w:cs="Courier New"/>
      </w:rPr>
    </w:lvl>
    <w:lvl w:ilvl="2">
      <w:start w:val="1"/>
      <w:numFmt w:val="bullet"/>
      <w:isLgl w:val="false"/>
      <w:suff w:val="tab"/>
      <w:lvlText w:val=""/>
      <w:lvlJc w:val="left"/>
      <w:pPr>
        <w:ind w:left="1800" w:hanging="360"/>
      </w:pPr>
      <w:rPr>
        <w:rFonts w:hint="default" w:ascii="Wingdings" w:hAnsi="Wingdings"/>
      </w:rPr>
    </w:lvl>
    <w:lvl w:ilvl="3">
      <w:start w:val="1"/>
      <w:numFmt w:val="bullet"/>
      <w:isLgl w:val="false"/>
      <w:suff w:val="tab"/>
      <w:lvlText w:val=""/>
      <w:lvlJc w:val="left"/>
      <w:pPr>
        <w:ind w:left="2520" w:hanging="360"/>
      </w:pPr>
      <w:rPr>
        <w:rFonts w:hint="default" w:ascii="Symbol" w:hAnsi="Symbol"/>
      </w:rPr>
    </w:lvl>
    <w:lvl w:ilvl="4">
      <w:start w:val="1"/>
      <w:numFmt w:val="bullet"/>
      <w:isLgl w:val="false"/>
      <w:suff w:val="tab"/>
      <w:lvlText w:val="o"/>
      <w:lvlJc w:val="left"/>
      <w:pPr>
        <w:ind w:left="3240" w:hanging="360"/>
      </w:pPr>
      <w:rPr>
        <w:rFonts w:hint="default" w:ascii="Courier New" w:hAnsi="Courier New" w:cs="Courier New"/>
      </w:rPr>
    </w:lvl>
    <w:lvl w:ilvl="5">
      <w:start w:val="1"/>
      <w:numFmt w:val="bullet"/>
      <w:isLgl w:val="false"/>
      <w:suff w:val="tab"/>
      <w:lvlText w:val=""/>
      <w:lvlJc w:val="left"/>
      <w:pPr>
        <w:ind w:left="3960" w:hanging="360"/>
      </w:pPr>
      <w:rPr>
        <w:rFonts w:hint="default" w:ascii="Wingdings" w:hAnsi="Wingdings"/>
      </w:rPr>
    </w:lvl>
    <w:lvl w:ilvl="6">
      <w:start w:val="1"/>
      <w:numFmt w:val="bullet"/>
      <w:isLgl w:val="false"/>
      <w:suff w:val="tab"/>
      <w:lvlText w:val=""/>
      <w:lvlJc w:val="left"/>
      <w:pPr>
        <w:ind w:left="4680" w:hanging="360"/>
      </w:pPr>
      <w:rPr>
        <w:rFonts w:hint="default" w:ascii="Symbol" w:hAnsi="Symbol"/>
      </w:rPr>
    </w:lvl>
    <w:lvl w:ilvl="7">
      <w:start w:val="1"/>
      <w:numFmt w:val="bullet"/>
      <w:isLgl w:val="false"/>
      <w:suff w:val="tab"/>
      <w:lvlText w:val="o"/>
      <w:lvlJc w:val="left"/>
      <w:pPr>
        <w:ind w:left="5400" w:hanging="360"/>
      </w:pPr>
      <w:rPr>
        <w:rFonts w:hint="default" w:ascii="Courier New" w:hAnsi="Courier New" w:cs="Courier New"/>
      </w:rPr>
    </w:lvl>
    <w:lvl w:ilvl="8">
      <w:start w:val="1"/>
      <w:numFmt w:val="bullet"/>
      <w:isLgl w:val="false"/>
      <w:suff w:val="tab"/>
      <w:lvlText w:val=""/>
      <w:lvlJc w:val="left"/>
      <w:pPr>
        <w:ind w:left="6120" w:hanging="360"/>
      </w:pPr>
      <w:rPr>
        <w:rFonts w:hint="default" w:ascii="Wingdings" w:hAnsi="Wingdings"/>
      </w:rPr>
    </w:lvl>
  </w:abstractNum>
  <w:abstractNum w:abstractNumId="15">
    <w:multiLevelType w:val="hybridMultilevel"/>
    <w:lvl w:ilvl="0">
      <w:start w:val="1"/>
      <w:numFmt w:val="bullet"/>
      <w:isLgl w:val="false"/>
      <w:suff w:val="tab"/>
      <w:lvlText w:val=""/>
      <w:lvlJc w:val="left"/>
      <w:pPr>
        <w:ind w:left="1440" w:hanging="360"/>
      </w:pPr>
      <w:rPr>
        <w:rFonts w:hint="default" w:ascii="Wingdings" w:hAnsi="Wingdings"/>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16">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1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2">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2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4">
    <w:multiLevelType w:val="hybridMultilevel"/>
    <w:lvl w:ilvl="0">
      <w:start w:val="1"/>
      <w:numFmt w:val="decimal"/>
      <w:pStyle w:val="754"/>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bullet"/>
      <w:isLgl w:val="false"/>
      <w:suff w:val="tab"/>
      <w:lvlText w:val=""/>
      <w:lvlJc w:val="left"/>
      <w:pPr>
        <w:ind w:left="1080" w:hanging="360"/>
      </w:pPr>
      <w:rPr>
        <w:rFonts w:hint="default" w:ascii="Wingdings" w:hAnsi="Wingdings"/>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num w:numId="1">
    <w:abstractNumId w:val="3"/>
  </w:num>
  <w:num w:numId="2">
    <w:abstractNumId w:val="24"/>
  </w:num>
  <w:num w:numId="3">
    <w:abstractNumId w:val="21"/>
  </w:num>
  <w:num w:numId="4">
    <w:abstractNumId w:val="12"/>
  </w:num>
  <w:num w:numId="5">
    <w:abstractNumId w:val="17"/>
  </w:num>
  <w:num w:numId="6">
    <w:abstractNumId w:val="15"/>
  </w:num>
  <w:num w:numId="7">
    <w:abstractNumId w:val="25"/>
  </w:num>
  <w:num w:numId="8">
    <w:abstractNumId w:val="10"/>
  </w:num>
  <w:num w:numId="9">
    <w:abstractNumId w:val="9"/>
  </w:num>
  <w:num w:numId="10">
    <w:abstractNumId w:val="16"/>
  </w:num>
  <w:num w:numId="11">
    <w:abstractNumId w:val="5"/>
  </w:num>
  <w:num w:numId="12">
    <w:abstractNumId w:val="22"/>
  </w:num>
  <w:num w:numId="13">
    <w:abstractNumId w:val="18"/>
  </w:num>
  <w:num w:numId="14">
    <w:abstractNumId w:val="14"/>
  </w:num>
  <w:num w:numId="15">
    <w:abstractNumId w:val="19"/>
  </w:num>
  <w:num w:numId="16">
    <w:abstractNumId w:val="11"/>
  </w:num>
  <w:num w:numId="17">
    <w:abstractNumId w:val="7"/>
  </w:num>
  <w:num w:numId="18">
    <w:abstractNumId w:val="13"/>
  </w:num>
  <w:num w:numId="19">
    <w:abstractNumId w:val="6"/>
  </w:num>
  <w:num w:numId="20">
    <w:abstractNumId w:val="2"/>
  </w:num>
  <w:num w:numId="21">
    <w:abstractNumId w:val="3"/>
    <w:lvlOverride w:ilvl="0">
      <w:startOverride w:val="1"/>
    </w:lvlOverride>
  </w:num>
  <w:num w:numId="22">
    <w:abstractNumId w:val="4"/>
  </w:num>
  <w:num w:numId="23">
    <w:abstractNumId w:val="1"/>
  </w:num>
  <w:num w:numId="24">
    <w:abstractNumId w:val="0"/>
  </w:num>
  <w:num w:numId="25">
    <w:abstractNumId w:val="8"/>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tru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fr-F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52" w:default="1">
    <w:name w:val="Normal"/>
    <w:qFormat/>
  </w:style>
  <w:style w:type="paragraph" w:styleId="753">
    <w:name w:val="Heading 1"/>
    <w:basedOn w:val="752"/>
    <w:next w:val="752"/>
    <w:link w:val="939"/>
    <w:uiPriority w:val="9"/>
    <w:qFormat/>
    <w:pPr>
      <w:numPr>
        <w:numId w:val="1"/>
      </w:numPr>
      <w:keepLines/>
      <w:keepNext/>
      <w:spacing w:before="240" w:after="0"/>
      <w:outlineLvl w:val="0"/>
    </w:pPr>
    <w:rPr>
      <w:rFonts w:asciiTheme="majorHAnsi" w:hAnsiTheme="majorHAnsi" w:eastAsiaTheme="majorEastAsia" w:cstheme="majorBidi"/>
      <w:b/>
      <w:color w:val="2e74b5" w:themeColor="accent1" w:themeShade="BF"/>
      <w:sz w:val="28"/>
      <w:szCs w:val="32"/>
    </w:rPr>
  </w:style>
  <w:style w:type="paragraph" w:styleId="754">
    <w:name w:val="Heading 2"/>
    <w:basedOn w:val="752"/>
    <w:next w:val="752"/>
    <w:link w:val="943"/>
    <w:uiPriority w:val="9"/>
    <w:unhideWhenUsed/>
    <w:qFormat/>
    <w:pPr>
      <w:numPr>
        <w:numId w:val="2"/>
      </w:numPr>
      <w:keepLines/>
      <w:keepNext/>
      <w:spacing w:before="40" w:after="0"/>
      <w:outlineLvl w:val="1"/>
    </w:pPr>
    <w:rPr>
      <w:rFonts w:asciiTheme="majorHAnsi" w:hAnsiTheme="majorHAnsi" w:eastAsiaTheme="majorEastAsia" w:cstheme="majorBidi"/>
      <w:color w:val="2e74b5" w:themeColor="accent1" w:themeShade="BF"/>
      <w:sz w:val="26"/>
      <w:szCs w:val="26"/>
    </w:rPr>
  </w:style>
  <w:style w:type="paragraph" w:styleId="755">
    <w:name w:val="Heading 3"/>
    <w:basedOn w:val="752"/>
    <w:next w:val="752"/>
    <w:link w:val="779"/>
    <w:uiPriority w:val="9"/>
    <w:unhideWhenUsed/>
    <w:qFormat/>
    <w:pPr>
      <w:keepLines/>
      <w:keepNext/>
      <w:spacing w:before="320" w:after="200"/>
      <w:outlineLvl w:val="2"/>
    </w:pPr>
    <w:rPr>
      <w:rFonts w:ascii="Arial" w:hAnsi="Arial" w:eastAsia="Arial" w:cs="Arial"/>
      <w:sz w:val="30"/>
      <w:szCs w:val="30"/>
    </w:rPr>
  </w:style>
  <w:style w:type="paragraph" w:styleId="756">
    <w:name w:val="Heading 4"/>
    <w:basedOn w:val="752"/>
    <w:next w:val="752"/>
    <w:link w:val="780"/>
    <w:uiPriority w:val="9"/>
    <w:unhideWhenUsed/>
    <w:qFormat/>
    <w:pPr>
      <w:keepLines/>
      <w:keepNext/>
      <w:spacing w:before="320" w:after="200"/>
      <w:outlineLvl w:val="3"/>
    </w:pPr>
    <w:rPr>
      <w:rFonts w:ascii="Arial" w:hAnsi="Arial" w:eastAsia="Arial" w:cs="Arial"/>
      <w:b/>
      <w:bCs/>
      <w:sz w:val="26"/>
      <w:szCs w:val="26"/>
    </w:rPr>
  </w:style>
  <w:style w:type="paragraph" w:styleId="757">
    <w:name w:val="Heading 5"/>
    <w:basedOn w:val="752"/>
    <w:next w:val="752"/>
    <w:link w:val="781"/>
    <w:uiPriority w:val="9"/>
    <w:unhideWhenUsed/>
    <w:qFormat/>
    <w:pPr>
      <w:keepLines/>
      <w:keepNext/>
      <w:spacing w:before="320" w:after="200"/>
      <w:outlineLvl w:val="4"/>
    </w:pPr>
    <w:rPr>
      <w:rFonts w:ascii="Arial" w:hAnsi="Arial" w:eastAsia="Arial" w:cs="Arial"/>
      <w:b/>
      <w:bCs/>
      <w:sz w:val="24"/>
      <w:szCs w:val="24"/>
    </w:rPr>
  </w:style>
  <w:style w:type="paragraph" w:styleId="758">
    <w:name w:val="Heading 6"/>
    <w:basedOn w:val="752"/>
    <w:next w:val="752"/>
    <w:link w:val="782"/>
    <w:uiPriority w:val="9"/>
    <w:unhideWhenUsed/>
    <w:qFormat/>
    <w:pPr>
      <w:keepLines/>
      <w:keepNext/>
      <w:spacing w:before="320" w:after="200"/>
      <w:outlineLvl w:val="5"/>
    </w:pPr>
    <w:rPr>
      <w:rFonts w:ascii="Arial" w:hAnsi="Arial" w:eastAsia="Arial" w:cs="Arial"/>
      <w:b/>
      <w:bCs/>
    </w:rPr>
  </w:style>
  <w:style w:type="paragraph" w:styleId="759">
    <w:name w:val="Heading 7"/>
    <w:basedOn w:val="752"/>
    <w:next w:val="752"/>
    <w:link w:val="783"/>
    <w:uiPriority w:val="9"/>
    <w:unhideWhenUsed/>
    <w:qFormat/>
    <w:pPr>
      <w:keepLines/>
      <w:keepNext/>
      <w:spacing w:before="320" w:after="200"/>
      <w:outlineLvl w:val="6"/>
    </w:pPr>
    <w:rPr>
      <w:rFonts w:ascii="Arial" w:hAnsi="Arial" w:eastAsia="Arial" w:cs="Arial"/>
      <w:b/>
      <w:bCs/>
      <w:i/>
      <w:iCs/>
    </w:rPr>
  </w:style>
  <w:style w:type="paragraph" w:styleId="760">
    <w:name w:val="Heading 8"/>
    <w:basedOn w:val="752"/>
    <w:next w:val="752"/>
    <w:link w:val="784"/>
    <w:uiPriority w:val="9"/>
    <w:unhideWhenUsed/>
    <w:qFormat/>
    <w:pPr>
      <w:keepLines/>
      <w:keepNext/>
      <w:spacing w:before="320" w:after="200"/>
      <w:outlineLvl w:val="7"/>
    </w:pPr>
    <w:rPr>
      <w:rFonts w:ascii="Arial" w:hAnsi="Arial" w:eastAsia="Arial" w:cs="Arial"/>
      <w:i/>
      <w:iCs/>
    </w:rPr>
  </w:style>
  <w:style w:type="paragraph" w:styleId="761">
    <w:name w:val="Heading 9"/>
    <w:basedOn w:val="752"/>
    <w:next w:val="752"/>
    <w:link w:val="785"/>
    <w:uiPriority w:val="9"/>
    <w:unhideWhenUsed/>
    <w:qFormat/>
    <w:pPr>
      <w:keepLines/>
      <w:keepNext/>
      <w:spacing w:before="320" w:after="200"/>
      <w:outlineLvl w:val="8"/>
    </w:pPr>
    <w:rPr>
      <w:rFonts w:ascii="Arial" w:hAnsi="Arial" w:eastAsia="Arial" w:cs="Arial"/>
      <w:i/>
      <w:iCs/>
      <w:sz w:val="21"/>
      <w:szCs w:val="21"/>
    </w:rPr>
  </w:style>
  <w:style w:type="character" w:styleId="762" w:default="1">
    <w:name w:val="Default Paragraph Font"/>
    <w:uiPriority w:val="1"/>
    <w:semiHidden/>
    <w:unhideWhenUsed/>
  </w:style>
  <w:style w:type="table" w:styleId="763" w:default="1">
    <w:name w:val="Normal Table"/>
    <w:uiPriority w:val="99"/>
    <w:semiHidden/>
    <w:unhideWhenUsed/>
    <w:tblPr>
      <w:tblInd w:w="0" w:type="dxa"/>
      <w:tblCellMar>
        <w:left w:w="108" w:type="dxa"/>
        <w:top w:w="0" w:type="dxa"/>
        <w:right w:w="108" w:type="dxa"/>
        <w:bottom w:w="0" w:type="dxa"/>
      </w:tblCellMar>
    </w:tblPr>
  </w:style>
  <w:style w:type="numbering" w:styleId="764" w:default="1">
    <w:name w:val="No List"/>
    <w:uiPriority w:val="99"/>
    <w:semiHidden/>
    <w:unhideWhenUsed/>
  </w:style>
  <w:style w:type="character" w:styleId="765" w:customStyle="1">
    <w:name w:val="Heading 3 Char"/>
    <w:basedOn w:val="762"/>
    <w:uiPriority w:val="9"/>
    <w:rPr>
      <w:rFonts w:ascii="Arial" w:hAnsi="Arial" w:eastAsia="Arial" w:cs="Arial"/>
      <w:sz w:val="30"/>
      <w:szCs w:val="30"/>
    </w:rPr>
  </w:style>
  <w:style w:type="character" w:styleId="766" w:customStyle="1">
    <w:name w:val="Heading 4 Char"/>
    <w:basedOn w:val="762"/>
    <w:uiPriority w:val="9"/>
    <w:rPr>
      <w:rFonts w:ascii="Arial" w:hAnsi="Arial" w:eastAsia="Arial" w:cs="Arial"/>
      <w:b/>
      <w:bCs/>
      <w:sz w:val="26"/>
      <w:szCs w:val="26"/>
    </w:rPr>
  </w:style>
  <w:style w:type="character" w:styleId="767" w:customStyle="1">
    <w:name w:val="Heading 5 Char"/>
    <w:basedOn w:val="762"/>
    <w:uiPriority w:val="9"/>
    <w:rPr>
      <w:rFonts w:ascii="Arial" w:hAnsi="Arial" w:eastAsia="Arial" w:cs="Arial"/>
      <w:b/>
      <w:bCs/>
      <w:sz w:val="24"/>
      <w:szCs w:val="24"/>
    </w:rPr>
  </w:style>
  <w:style w:type="character" w:styleId="768" w:customStyle="1">
    <w:name w:val="Heading 6 Char"/>
    <w:basedOn w:val="762"/>
    <w:uiPriority w:val="9"/>
    <w:rPr>
      <w:rFonts w:ascii="Arial" w:hAnsi="Arial" w:eastAsia="Arial" w:cs="Arial"/>
      <w:b/>
      <w:bCs/>
      <w:sz w:val="22"/>
      <w:szCs w:val="22"/>
    </w:rPr>
  </w:style>
  <w:style w:type="character" w:styleId="769" w:customStyle="1">
    <w:name w:val="Heading 7 Char"/>
    <w:basedOn w:val="762"/>
    <w:uiPriority w:val="9"/>
    <w:rPr>
      <w:rFonts w:ascii="Arial" w:hAnsi="Arial" w:eastAsia="Arial" w:cs="Arial"/>
      <w:b/>
      <w:bCs/>
      <w:i/>
      <w:iCs/>
      <w:sz w:val="22"/>
      <w:szCs w:val="22"/>
    </w:rPr>
  </w:style>
  <w:style w:type="character" w:styleId="770" w:customStyle="1">
    <w:name w:val="Heading 8 Char"/>
    <w:basedOn w:val="762"/>
    <w:uiPriority w:val="9"/>
    <w:rPr>
      <w:rFonts w:ascii="Arial" w:hAnsi="Arial" w:eastAsia="Arial" w:cs="Arial"/>
      <w:i/>
      <w:iCs/>
      <w:sz w:val="22"/>
      <w:szCs w:val="22"/>
    </w:rPr>
  </w:style>
  <w:style w:type="character" w:styleId="771" w:customStyle="1">
    <w:name w:val="Heading 9 Char"/>
    <w:basedOn w:val="762"/>
    <w:uiPriority w:val="9"/>
    <w:rPr>
      <w:rFonts w:ascii="Arial" w:hAnsi="Arial" w:eastAsia="Arial" w:cs="Arial"/>
      <w:i/>
      <w:iCs/>
      <w:sz w:val="21"/>
      <w:szCs w:val="21"/>
    </w:rPr>
  </w:style>
  <w:style w:type="character" w:styleId="772" w:customStyle="1">
    <w:name w:val="Subtitle Char"/>
    <w:basedOn w:val="762"/>
    <w:uiPriority w:val="11"/>
    <w:rPr>
      <w:sz w:val="24"/>
      <w:szCs w:val="24"/>
    </w:rPr>
  </w:style>
  <w:style w:type="character" w:styleId="773" w:customStyle="1">
    <w:name w:val="Quote Char"/>
    <w:uiPriority w:val="29"/>
    <w:rPr>
      <w:i/>
    </w:rPr>
  </w:style>
  <w:style w:type="character" w:styleId="774" w:customStyle="1">
    <w:name w:val="Intense Quote Char"/>
    <w:uiPriority w:val="30"/>
    <w:rPr>
      <w:i/>
    </w:rPr>
  </w:style>
  <w:style w:type="character" w:styleId="775" w:customStyle="1">
    <w:name w:val="Footnote Text Char"/>
    <w:uiPriority w:val="99"/>
    <w:rPr>
      <w:sz w:val="18"/>
    </w:rPr>
  </w:style>
  <w:style w:type="character" w:styleId="776" w:customStyle="1">
    <w:name w:val="Endnote Text Char"/>
    <w:uiPriority w:val="99"/>
    <w:rPr>
      <w:sz w:val="20"/>
    </w:rPr>
  </w:style>
  <w:style w:type="character" w:styleId="777" w:customStyle="1">
    <w:name w:val="Heading 1 Char"/>
    <w:basedOn w:val="762"/>
    <w:uiPriority w:val="9"/>
    <w:rPr>
      <w:rFonts w:ascii="Arial" w:hAnsi="Arial" w:eastAsia="Arial" w:cs="Arial"/>
      <w:sz w:val="40"/>
      <w:szCs w:val="40"/>
    </w:rPr>
  </w:style>
  <w:style w:type="character" w:styleId="778" w:customStyle="1">
    <w:name w:val="Heading 2 Char"/>
    <w:basedOn w:val="762"/>
    <w:uiPriority w:val="9"/>
    <w:rPr>
      <w:rFonts w:ascii="Arial" w:hAnsi="Arial" w:eastAsia="Arial" w:cs="Arial"/>
      <w:sz w:val="34"/>
    </w:rPr>
  </w:style>
  <w:style w:type="character" w:styleId="779" w:customStyle="1">
    <w:name w:val="Titre 3 Car"/>
    <w:basedOn w:val="762"/>
    <w:link w:val="755"/>
    <w:uiPriority w:val="9"/>
    <w:rPr>
      <w:rFonts w:ascii="Arial" w:hAnsi="Arial" w:eastAsia="Arial" w:cs="Arial"/>
      <w:sz w:val="30"/>
      <w:szCs w:val="30"/>
    </w:rPr>
  </w:style>
  <w:style w:type="character" w:styleId="780" w:customStyle="1">
    <w:name w:val="Titre 4 Car"/>
    <w:basedOn w:val="762"/>
    <w:link w:val="756"/>
    <w:uiPriority w:val="9"/>
    <w:rPr>
      <w:rFonts w:ascii="Arial" w:hAnsi="Arial" w:eastAsia="Arial" w:cs="Arial"/>
      <w:b/>
      <w:bCs/>
      <w:sz w:val="26"/>
      <w:szCs w:val="26"/>
    </w:rPr>
  </w:style>
  <w:style w:type="character" w:styleId="781" w:customStyle="1">
    <w:name w:val="Titre 5 Car"/>
    <w:basedOn w:val="762"/>
    <w:link w:val="757"/>
    <w:uiPriority w:val="9"/>
    <w:rPr>
      <w:rFonts w:ascii="Arial" w:hAnsi="Arial" w:eastAsia="Arial" w:cs="Arial"/>
      <w:b/>
      <w:bCs/>
      <w:sz w:val="24"/>
      <w:szCs w:val="24"/>
    </w:rPr>
  </w:style>
  <w:style w:type="character" w:styleId="782" w:customStyle="1">
    <w:name w:val="Titre 6 Car"/>
    <w:basedOn w:val="762"/>
    <w:link w:val="758"/>
    <w:uiPriority w:val="9"/>
    <w:rPr>
      <w:rFonts w:ascii="Arial" w:hAnsi="Arial" w:eastAsia="Arial" w:cs="Arial"/>
      <w:b/>
      <w:bCs/>
      <w:sz w:val="22"/>
      <w:szCs w:val="22"/>
    </w:rPr>
  </w:style>
  <w:style w:type="character" w:styleId="783" w:customStyle="1">
    <w:name w:val="Titre 7 Car"/>
    <w:basedOn w:val="762"/>
    <w:link w:val="759"/>
    <w:uiPriority w:val="9"/>
    <w:rPr>
      <w:rFonts w:ascii="Arial" w:hAnsi="Arial" w:eastAsia="Arial" w:cs="Arial"/>
      <w:b/>
      <w:bCs/>
      <w:i/>
      <w:iCs/>
      <w:sz w:val="22"/>
      <w:szCs w:val="22"/>
    </w:rPr>
  </w:style>
  <w:style w:type="character" w:styleId="784" w:customStyle="1">
    <w:name w:val="Titre 8 Car"/>
    <w:basedOn w:val="762"/>
    <w:link w:val="760"/>
    <w:uiPriority w:val="9"/>
    <w:rPr>
      <w:rFonts w:ascii="Arial" w:hAnsi="Arial" w:eastAsia="Arial" w:cs="Arial"/>
      <w:i/>
      <w:iCs/>
      <w:sz w:val="22"/>
      <w:szCs w:val="22"/>
    </w:rPr>
  </w:style>
  <w:style w:type="character" w:styleId="785" w:customStyle="1">
    <w:name w:val="Titre 9 Car"/>
    <w:basedOn w:val="762"/>
    <w:link w:val="761"/>
    <w:uiPriority w:val="9"/>
    <w:rPr>
      <w:rFonts w:ascii="Arial" w:hAnsi="Arial" w:eastAsia="Arial" w:cs="Arial"/>
      <w:i/>
      <w:iCs/>
      <w:sz w:val="21"/>
      <w:szCs w:val="21"/>
    </w:rPr>
  </w:style>
  <w:style w:type="paragraph" w:styleId="786">
    <w:name w:val="No Spacing"/>
    <w:uiPriority w:val="1"/>
    <w:qFormat/>
    <w:pPr>
      <w:spacing w:after="0" w:line="240" w:lineRule="auto"/>
    </w:pPr>
  </w:style>
  <w:style w:type="character" w:styleId="787" w:customStyle="1">
    <w:name w:val="Title Char"/>
    <w:basedOn w:val="762"/>
    <w:uiPriority w:val="10"/>
    <w:rPr>
      <w:sz w:val="48"/>
      <w:szCs w:val="48"/>
    </w:rPr>
  </w:style>
  <w:style w:type="paragraph" w:styleId="788">
    <w:name w:val="Subtitle"/>
    <w:basedOn w:val="752"/>
    <w:next w:val="752"/>
    <w:link w:val="789"/>
    <w:uiPriority w:val="11"/>
    <w:qFormat/>
    <w:pPr>
      <w:spacing w:before="200" w:after="200"/>
    </w:pPr>
    <w:rPr>
      <w:sz w:val="24"/>
      <w:szCs w:val="24"/>
    </w:rPr>
  </w:style>
  <w:style w:type="character" w:styleId="789" w:customStyle="1">
    <w:name w:val="Sous-titre Car"/>
    <w:basedOn w:val="762"/>
    <w:link w:val="788"/>
    <w:uiPriority w:val="11"/>
    <w:rPr>
      <w:sz w:val="24"/>
      <w:szCs w:val="24"/>
    </w:rPr>
  </w:style>
  <w:style w:type="paragraph" w:styleId="790">
    <w:name w:val="Quote"/>
    <w:basedOn w:val="752"/>
    <w:next w:val="752"/>
    <w:link w:val="791"/>
    <w:uiPriority w:val="29"/>
    <w:qFormat/>
    <w:pPr>
      <w:ind w:left="720" w:right="720"/>
    </w:pPr>
    <w:rPr>
      <w:i/>
    </w:rPr>
  </w:style>
  <w:style w:type="character" w:styleId="791" w:customStyle="1">
    <w:name w:val="Citation Car"/>
    <w:link w:val="790"/>
    <w:uiPriority w:val="29"/>
    <w:rPr>
      <w:i/>
    </w:rPr>
  </w:style>
  <w:style w:type="paragraph" w:styleId="792">
    <w:name w:val="Intense Quote"/>
    <w:basedOn w:val="752"/>
    <w:next w:val="752"/>
    <w:link w:val="793"/>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93" w:customStyle="1">
    <w:name w:val="Citation intense Car"/>
    <w:link w:val="792"/>
    <w:uiPriority w:val="30"/>
    <w:rPr>
      <w:i/>
    </w:rPr>
  </w:style>
  <w:style w:type="character" w:styleId="794" w:customStyle="1">
    <w:name w:val="Header Char"/>
    <w:basedOn w:val="762"/>
    <w:uiPriority w:val="99"/>
  </w:style>
  <w:style w:type="character" w:styleId="795" w:customStyle="1">
    <w:name w:val="Footer Char"/>
    <w:basedOn w:val="762"/>
    <w:uiPriority w:val="99"/>
  </w:style>
  <w:style w:type="character" w:styleId="796" w:customStyle="1">
    <w:name w:val="Caption Char"/>
    <w:uiPriority w:val="99"/>
  </w:style>
  <w:style w:type="table" w:styleId="797" w:customStyle="1">
    <w:name w:val="Table Grid Light"/>
    <w:basedOn w:val="763"/>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798">
    <w:name w:val="Plain Table 1"/>
    <w:basedOn w:val="763"/>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99">
    <w:name w:val="Plain Table 2"/>
    <w:basedOn w:val="763"/>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00">
    <w:name w:val="Plain Table 3"/>
    <w:basedOn w:val="763"/>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01">
    <w:name w:val="Plain Table 4"/>
    <w:basedOn w:val="763"/>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02">
    <w:name w:val="Plain Table 5"/>
    <w:basedOn w:val="763"/>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03">
    <w:name w:val="Grid Table 1 Light"/>
    <w:basedOn w:val="763"/>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04" w:customStyle="1">
    <w:name w:val="Grid Table 1 Light - Accent 1"/>
    <w:basedOn w:val="763"/>
    <w:uiPriority w:val="99"/>
    <w:pPr>
      <w:spacing w:after="0" w:line="240" w:lineRule="auto"/>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b/>
        <w:color w:val="404040"/>
      </w:rPr>
    </w:tblStylePr>
    <w:tblStylePr w:type="firstRow">
      <w:rPr>
        <w:b/>
        <w:color w:val="404040"/>
      </w:rPr>
      <w:tcPr>
        <w:tcBorders>
          <w:bottom w:val="single" w:color="9EC4E6" w:themeColor="accent1" w:themeTint="95" w:sz="12" w:space="0"/>
        </w:tcBorders>
      </w:tcPr>
    </w:tblStylePr>
    <w:tblStylePr w:type="lastCol">
      <w:rPr>
        <w:b/>
        <w:color w:val="404040"/>
      </w:rPr>
    </w:tblStylePr>
    <w:tblStylePr w:type="lastRow">
      <w:rPr>
        <w:b/>
        <w:color w:val="404040"/>
      </w:rPr>
    </w:tblStylePr>
  </w:style>
  <w:style w:type="table" w:styleId="805" w:customStyle="1">
    <w:name w:val="Grid Table 1 Light - Accent 2"/>
    <w:basedOn w:val="763"/>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806" w:customStyle="1">
    <w:name w:val="Grid Table 1 Light - Accent 3"/>
    <w:basedOn w:val="763"/>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807" w:customStyle="1">
    <w:name w:val="Grid Table 1 Light - Accent 4"/>
    <w:basedOn w:val="763"/>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808" w:customStyle="1">
    <w:name w:val="Grid Table 1 Light - Accent 5"/>
    <w:basedOn w:val="763"/>
    <w:uiPriority w:val="99"/>
    <w:pPr>
      <w:spacing w:after="0" w:line="240" w:lineRule="auto"/>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b/>
        <w:color w:val="404040"/>
      </w:rPr>
    </w:tblStylePr>
    <w:tblStylePr w:type="firstRow">
      <w:rPr>
        <w:b/>
        <w:color w:val="404040"/>
      </w:rPr>
      <w:tcPr>
        <w:tcBorders>
          <w:bottom w:val="single" w:color="91ACDC" w:themeColor="accent5" w:themeTint="95" w:sz="12" w:space="0"/>
        </w:tcBorders>
      </w:tcPr>
    </w:tblStylePr>
    <w:tblStylePr w:type="lastCol">
      <w:rPr>
        <w:b/>
        <w:color w:val="404040"/>
      </w:rPr>
    </w:tblStylePr>
    <w:tblStylePr w:type="lastRow">
      <w:rPr>
        <w:b/>
        <w:color w:val="404040"/>
      </w:rPr>
    </w:tblStylePr>
  </w:style>
  <w:style w:type="table" w:styleId="809" w:customStyle="1">
    <w:name w:val="Grid Table 1 Light - Accent 6"/>
    <w:basedOn w:val="763"/>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810">
    <w:name w:val="Grid Table 2"/>
    <w:basedOn w:val="763"/>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11" w:customStyle="1">
    <w:name w:val="Grid Table 2 - Accent 1"/>
    <w:basedOn w:val="763"/>
    <w:uiPriority w:val="99"/>
    <w:pPr>
      <w:spacing w:after="0" w:line="240" w:lineRule="auto"/>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style>
  <w:style w:type="table" w:styleId="812" w:customStyle="1">
    <w:name w:val="Grid Table 2 - Accent 2"/>
    <w:basedOn w:val="763"/>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813" w:customStyle="1">
    <w:name w:val="Grid Table 2 - Accent 3"/>
    <w:basedOn w:val="763"/>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814" w:customStyle="1">
    <w:name w:val="Grid Table 2 - Accent 4"/>
    <w:basedOn w:val="763"/>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815" w:customStyle="1">
    <w:name w:val="Grid Table 2 - Accent 5"/>
    <w:basedOn w:val="763"/>
    <w:uiPriority w:val="99"/>
    <w:pPr>
      <w:spacing w:after="0" w:line="240" w:lineRule="auto"/>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472C4" w:themeColor="accent5" w:sz="4" w:space="0"/>
          <w:left w:val="none" w:color="000000" w:sz="4" w:space="0"/>
          <w:bottom w:val="none" w:color="000000" w:sz="4" w:space="0"/>
          <w:right w:val="none" w:color="000000" w:sz="4" w:space="0"/>
        </w:tcBorders>
      </w:tcPr>
    </w:tblStylePr>
  </w:style>
  <w:style w:type="table" w:styleId="816" w:customStyle="1">
    <w:name w:val="Grid Table 2 - Accent 6"/>
    <w:basedOn w:val="763"/>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817">
    <w:name w:val="Grid Table 3"/>
    <w:basedOn w:val="763"/>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18" w:customStyle="1">
    <w:name w:val="Grid Table 3 - Accent 1"/>
    <w:basedOn w:val="763"/>
    <w:uiPriority w:val="99"/>
    <w:pPr>
      <w:spacing w:after="0" w:line="240" w:lineRule="auto"/>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19" w:customStyle="1">
    <w:name w:val="Grid Table 3 - Accent 2"/>
    <w:basedOn w:val="763"/>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0" w:customStyle="1">
    <w:name w:val="Grid Table 3 - Accent 3"/>
    <w:basedOn w:val="763"/>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1" w:customStyle="1">
    <w:name w:val="Grid Table 3 - Accent 4"/>
    <w:basedOn w:val="763"/>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2" w:customStyle="1">
    <w:name w:val="Grid Table 3 - Accent 5"/>
    <w:basedOn w:val="763"/>
    <w:uiPriority w:val="99"/>
    <w:pPr>
      <w:spacing w:after="0" w:line="240" w:lineRule="auto"/>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3" w:customStyle="1">
    <w:name w:val="Grid Table 3 - Accent 6"/>
    <w:basedOn w:val="763"/>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4">
    <w:name w:val="Grid Table 4"/>
    <w:basedOn w:val="763"/>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25" w:customStyle="1">
    <w:name w:val="Grid Table 4 - Accent 1"/>
    <w:basedOn w:val="763"/>
    <w:uiPriority w:val="59"/>
    <w:pPr>
      <w:spacing w:after="0" w:line="240" w:lineRule="auto"/>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rFonts w:ascii="Arial" w:hAnsi="Arial"/>
        <w:color w:val="404040"/>
        <w:sz w:val="22"/>
      </w:rPr>
      <w:tcPr>
        <w:shd w:val="clear" w:color="deebf6" w:themeColor="accent1" w:themeTint="32" w:fill="deebf6" w:themeFill="accent1" w:themeFillTint="32"/>
      </w:tcPr>
    </w:tblStylePr>
    <w:tblStylePr w:type="band1Vert">
      <w:rPr>
        <w:rFonts w:ascii="Arial" w:hAnsi="Arial"/>
        <w:color w:val="404040"/>
        <w:sz w:val="22"/>
      </w:rPr>
      <w:tcPr>
        <w:shd w:val="clear" w:color="deebf6" w:themeColor="accent1" w:themeTint="32" w:fill="deebf6" w:themeFill="accent1" w:themeFillTint="32"/>
      </w:tcPr>
    </w:tblStylePr>
    <w:tblStylePr w:type="firstCol">
      <w:rPr>
        <w:b/>
        <w:color w:val="404040"/>
      </w:rPr>
    </w:tblStylePr>
    <w:tblStylePr w:type="firstRow">
      <w:rPr>
        <w:rFonts w:ascii="Arial" w:hAnsi="Arial"/>
        <w:b/>
        <w:color w:val="ffffff"/>
        <w:sz w:val="22"/>
      </w:r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tblStylePr>
    <w:tblStylePr w:type="lastRow">
      <w:rPr>
        <w:b/>
        <w:color w:val="404040"/>
      </w:rPr>
      <w:tcPr>
        <w:tcBorders>
          <w:top w:val="single" w:color="68A2D8" w:themeColor="accent1" w:themeTint="EA" w:sz="4" w:space="0"/>
        </w:tcBorders>
      </w:tcPr>
    </w:tblStylePr>
  </w:style>
  <w:style w:type="table" w:styleId="826" w:customStyle="1">
    <w:name w:val="Grid Table 4 - Accent 2"/>
    <w:basedOn w:val="763"/>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827" w:customStyle="1">
    <w:name w:val="Grid Table 4 - Accent 3"/>
    <w:basedOn w:val="763"/>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828" w:customStyle="1">
    <w:name w:val="Grid Table 4 - Accent 4"/>
    <w:basedOn w:val="763"/>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829" w:customStyle="1">
    <w:name w:val="Grid Table 4 - Accent 5"/>
    <w:basedOn w:val="763"/>
    <w:uiPriority w:val="59"/>
    <w:pPr>
      <w:spacing w:after="0" w:line="240" w:lineRule="auto"/>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rFonts w:ascii="Arial" w:hAnsi="Arial"/>
        <w:b/>
        <w:color w:val="ffffff"/>
        <w:sz w:val="22"/>
      </w:r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830" w:customStyle="1">
    <w:name w:val="Grid Table 4 - Accent 6"/>
    <w:basedOn w:val="763"/>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31">
    <w:name w:val="Grid Table 5 Dark"/>
    <w:basedOn w:val="76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32" w:customStyle="1">
    <w:name w:val="Grid Table 5 Dark- Accent 1"/>
    <w:basedOn w:val="76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blStylePr w:type="band1Horz">
      <w:tcPr>
        <w:shd w:val="clear" w:color="b3d0eb" w:themeColor="accent1" w:themeTint="75" w:fill="b3d0eb" w:themeFill="accent1" w:themeFillTint="75"/>
      </w:tcPr>
    </w:tblStylePr>
    <w:tblStylePr w:type="band1Vert">
      <w:tcPr>
        <w:shd w:val="clear" w:color="b3d0eb" w:themeColor="accent1" w:themeTint="75" w:fill="b3d0eb" w:themeFill="accent1" w:themeFillTint="75"/>
      </w:tcPr>
    </w:tblStylePr>
    <w:tblStylePr w:type="firstCol">
      <w:rPr>
        <w:rFonts w:ascii="Arial" w:hAnsi="Arial"/>
        <w:b/>
        <w:color w:val="ffffff"/>
        <w:sz w:val="22"/>
      </w:rPr>
      <w:tcPr>
        <w:shd w:val="clear" w:color="5b9bd5" w:themeColor="accent1" w:fill="5b9bd5" w:themeFill="accent1"/>
      </w:tcPr>
    </w:tblStylePr>
    <w:tblStylePr w:type="firstRow">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shd w:val="clear" w:color="5b9bd5" w:themeColor="accent1" w:fill="5b9bd5" w:themeFill="accent1"/>
        <w:tcBorders>
          <w:top w:val="single" w:color="FFFFFF" w:themeColor="light1" w:sz="4" w:space="0"/>
        </w:tcBorders>
      </w:tcPr>
    </w:tblStylePr>
  </w:style>
  <w:style w:type="table" w:styleId="833" w:customStyle="1">
    <w:name w:val="Grid Table 5 Dark - Accent 2"/>
    <w:basedOn w:val="76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834" w:customStyle="1">
    <w:name w:val="Grid Table 5 Dark - Accent 3"/>
    <w:basedOn w:val="76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835" w:customStyle="1">
    <w:name w:val="Grid Table 5 Dark- Accent 4"/>
    <w:basedOn w:val="76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836" w:customStyle="1">
    <w:name w:val="Grid Table 5 Dark - Accent 5"/>
    <w:basedOn w:val="76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blStylePr w:type="band1Horz">
      <w:tcPr>
        <w:shd w:val="clear" w:color="a9bee4" w:themeColor="accent5" w:themeTint="75" w:fill="a9bee4" w:themeFill="accent5" w:themeFillTint="75"/>
      </w:tcPr>
    </w:tblStylePr>
    <w:tblStylePr w:type="band1Vert">
      <w:tcPr>
        <w:shd w:val="clear" w:color="a9bee4" w:themeColor="accent5" w:themeTint="75" w:fill="a9bee4" w:themeFill="accent5" w:themeFillTint="75"/>
      </w:tcPr>
    </w:tblStylePr>
    <w:tblStylePr w:type="firstCol">
      <w:rPr>
        <w:rFonts w:ascii="Arial" w:hAnsi="Arial"/>
        <w:b/>
        <w:color w:val="ffffff"/>
        <w:sz w:val="22"/>
      </w:rPr>
      <w:tcPr>
        <w:shd w:val="clear" w:color="4472c4" w:themeColor="accent5" w:fill="4472c4" w:themeFill="accent5"/>
      </w:tcPr>
    </w:tblStylePr>
    <w:tblStylePr w:type="firstRow">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shd w:val="clear" w:color="4472c4" w:themeColor="accent5" w:fill="4472c4" w:themeFill="accent5"/>
        <w:tcBorders>
          <w:top w:val="single" w:color="FFFFFF" w:themeColor="light1" w:sz="4" w:space="0"/>
        </w:tcBorders>
      </w:tcPr>
    </w:tblStylePr>
  </w:style>
  <w:style w:type="table" w:styleId="837" w:customStyle="1">
    <w:name w:val="Grid Table 5 Dark - Accent 6"/>
    <w:basedOn w:val="76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838">
    <w:name w:val="Grid Table 6 Colorful"/>
    <w:basedOn w:val="763"/>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39" w:customStyle="1">
    <w:name w:val="Grid Table 6 Colorful - Accent 1"/>
    <w:basedOn w:val="763"/>
    <w:uiPriority w:val="99"/>
    <w:pPr>
      <w:spacing w:after="0" w:line="240" w:lineRule="auto"/>
    </w:pPr>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themeTint="80"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840" w:customStyle="1">
    <w:name w:val="Grid Table 6 Colorful - Accent 2"/>
    <w:basedOn w:val="763"/>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41" w:customStyle="1">
    <w:name w:val="Grid Table 6 Colorful - Accent 3"/>
    <w:basedOn w:val="763"/>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42" w:customStyle="1">
    <w:name w:val="Grid Table 6 Colorful - Accent 4"/>
    <w:basedOn w:val="763"/>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43" w:customStyle="1">
    <w:name w:val="Grid Table 6 Colorful - Accent 5"/>
    <w:basedOn w:val="763"/>
    <w:uiPriority w:val="99"/>
    <w:pPr>
      <w:spacing w:after="0" w:line="240" w:lineRule="auto"/>
    </w:pPr>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844" w:customStyle="1">
    <w:name w:val="Grid Table 6 Colorful - Accent 6"/>
    <w:basedOn w:val="763"/>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54175"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845">
    <w:name w:val="Grid Table 7 Colorful"/>
    <w:basedOn w:val="763"/>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46" w:customStyle="1">
    <w:name w:val="Grid Table 7 Colorful - Accent 1"/>
    <w:basedOn w:val="763"/>
    <w:uiPriority w:val="99"/>
    <w:pPr>
      <w:spacing w:after="0" w:line="240" w:lineRule="auto"/>
    </w:pPr>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rFonts w:ascii="Arial" w:hAnsi="Arial"/>
        <w:i/>
        <w:color w:val="acccea"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CCCEA" w:themeColor="accent1" w:themeTint="80" w:sz="4" w:space="0"/>
        </w:tcBorders>
      </w:tcPr>
    </w:tblStylePr>
    <w:tblStylePr w:type="firstRow">
      <w:rPr>
        <w:rFonts w:ascii="Arial" w:hAnsi="Arial"/>
        <w:b/>
        <w:color w:val="acccea" w:themeColor="accent1" w:themeTint="80" w:themeShade="95"/>
        <w:sz w:val="22"/>
      </w:rPr>
      <w:tcPr>
        <w:shd w:val="clear" w:color="ffffff" w:themeColor="light1" w:fill="ffffff" w:themeFill="light1"/>
        <w:tcBorders>
          <w:top w:val="none" w:color="000000" w:sz="4" w:space="0"/>
          <w:left w:val="none" w:color="000000" w:sz="4" w:space="0"/>
          <w:bottom w:val="single" w:color="ACCCEA" w:themeColor="accent1" w:themeTint="80" w:sz="4" w:space="0"/>
          <w:right w:val="none" w:color="000000" w:sz="4" w:space="0"/>
        </w:tcBorders>
      </w:tcPr>
    </w:tblStylePr>
    <w:tblStylePr w:type="lastCol">
      <w:rPr>
        <w:rFonts w:ascii="Arial" w:hAnsi="Arial"/>
        <w:i/>
        <w:color w:val="acccea" w:themeColor="accent1" w:themeTint="80" w:themeShade="95"/>
        <w:sz w:val="22"/>
      </w:rPr>
      <w:tcPr>
        <w:shd w:val="clear" w:color="ffffff" w:fill="auto"/>
        <w:tcBorders>
          <w:top w:val="none" w:color="000000" w:sz="4" w:space="0"/>
          <w:left w:val="single" w:color="ACCCEA" w:themeColor="accent1" w:themeTint="80" w:sz="4" w:space="0"/>
          <w:bottom w:val="none" w:color="000000" w:sz="4" w:space="0"/>
          <w:right w:val="none" w:color="000000" w:sz="4" w:space="0"/>
        </w:tcBorders>
      </w:tcPr>
    </w:tblStylePr>
    <w:tblStylePr w:type="lastRow">
      <w:rPr>
        <w:rFonts w:ascii="Arial" w:hAnsi="Arial"/>
        <w:b/>
        <w:color w:val="acccea" w:themeColor="accent1" w:themeTint="80" w:themeShade="95"/>
        <w:sz w:val="22"/>
      </w:rPr>
      <w:tcPr>
        <w:shd w:val="clear" w:color="ffffff" w:themeColor="light1" w:fill="ffffff" w:themeFill="light1"/>
        <w:tcBorders>
          <w:top w:val="single" w:color="ACCCEA" w:themeColor="accent1" w:themeTint="80" w:sz="4" w:space="0"/>
          <w:left w:val="none" w:color="000000" w:sz="4" w:space="0"/>
          <w:bottom w:val="none" w:color="000000" w:sz="4" w:space="0"/>
          <w:right w:val="none" w:color="000000" w:sz="4" w:space="0"/>
        </w:tcBorders>
      </w:tcPr>
    </w:tblStylePr>
  </w:style>
  <w:style w:type="table" w:styleId="847" w:customStyle="1">
    <w:name w:val="Grid Table 7 Colorful - Accent 2"/>
    <w:basedOn w:val="763"/>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848" w:customStyle="1">
    <w:name w:val="Grid Table 7 Colorful - Accent 3"/>
    <w:basedOn w:val="763"/>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849" w:customStyle="1">
    <w:name w:val="Grid Table 7 Colorful - Accent 4"/>
    <w:basedOn w:val="763"/>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850" w:customStyle="1">
    <w:name w:val="Grid Table 7 Colorful - Accent 5"/>
    <w:basedOn w:val="763"/>
    <w:uiPriority w:val="99"/>
    <w:pPr>
      <w:spacing w:after="0" w:line="240" w:lineRule="auto"/>
    </w:pPr>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rFonts w:ascii="Arial" w:hAnsi="Arial"/>
        <w:i/>
        <w:color w:val="254175" w:themeColor="accent5" w:themeShade="95"/>
        <w:sz w:val="22"/>
      </w:rPr>
      <w:pPr>
        <w:jc w:val="right"/>
      </w:pPr>
      <w:tcPr>
        <w:shd w:val="clear" w:color="ffffff" w:fill="auto"/>
        <w:tcBorders>
          <w:top w:val="none" w:color="000000" w:sz="4" w:space="0"/>
          <w:left w:val="none" w:color="000000" w:sz="4" w:space="0"/>
          <w:bottom w:val="none" w:color="000000" w:sz="4" w:space="0"/>
          <w:right w:val="single" w:color="95AFDD" w:themeColor="accent5" w:themeTint="90" w:sz="4" w:space="0"/>
        </w:tcBorders>
      </w:tcPr>
    </w:tblStylePr>
    <w:tblStylePr w:type="firstRow">
      <w:rPr>
        <w:rFonts w:ascii="Arial" w:hAnsi="Arial"/>
        <w:b/>
        <w:color w:val="254175" w:themeColor="accent5" w:themeShade="95"/>
        <w:sz w:val="22"/>
      </w:rPr>
      <w:tcPr>
        <w:shd w:val="clear" w:color="ffffff" w:themeColor="light1" w:fill="ffffff" w:themeFill="light1"/>
        <w:tcBorders>
          <w:top w:val="none" w:color="000000" w:sz="4" w:space="0"/>
          <w:left w:val="none" w:color="000000" w:sz="4" w:space="0"/>
          <w:bottom w:val="single" w:color="95AFDD" w:themeColor="accent5" w:themeTint="90" w:sz="4" w:space="0"/>
          <w:right w:val="none" w:color="000000" w:sz="4" w:space="0"/>
        </w:tcBorders>
      </w:tcPr>
    </w:tblStylePr>
    <w:tblStylePr w:type="lastCol">
      <w:rPr>
        <w:rFonts w:ascii="Arial" w:hAnsi="Arial"/>
        <w:i/>
        <w:color w:val="254175" w:themeColor="accent5" w:themeShade="95"/>
        <w:sz w:val="22"/>
      </w:rPr>
      <w:tcPr>
        <w:shd w:val="clear" w:color="ffffff" w:fill="auto"/>
        <w:tcBorders>
          <w:top w:val="none" w:color="000000" w:sz="4" w:space="0"/>
          <w:left w:val="single" w:color="95AFDD" w:themeColor="accent5" w:themeTint="90" w:sz="4" w:space="0"/>
          <w:bottom w:val="none" w:color="000000" w:sz="4" w:space="0"/>
          <w:right w:val="none" w:color="000000" w:sz="4" w:space="0"/>
        </w:tcBorders>
      </w:tcPr>
    </w:tblStylePr>
    <w:tblStylePr w:type="lastRow">
      <w:rPr>
        <w:rFonts w:ascii="Arial" w:hAnsi="Arial"/>
        <w:b/>
        <w:color w:val="254175" w:themeColor="accent5" w:themeShade="95"/>
        <w:sz w:val="22"/>
      </w:rPr>
      <w:tcPr>
        <w:shd w:val="clear" w:color="ffffff" w:themeColor="light1" w:fill="ffffff" w:themeFill="light1"/>
        <w:tcBorders>
          <w:top w:val="single" w:color="95AFDD" w:themeColor="accent5" w:themeTint="90" w:sz="4" w:space="0"/>
          <w:left w:val="none" w:color="000000" w:sz="4" w:space="0"/>
          <w:bottom w:val="none" w:color="000000" w:sz="4" w:space="0"/>
          <w:right w:val="none" w:color="000000" w:sz="4" w:space="0"/>
        </w:tcBorders>
      </w:tcPr>
    </w:tblStylePr>
  </w:style>
  <w:style w:type="table" w:styleId="851" w:customStyle="1">
    <w:name w:val="Grid Table 7 Colorful - Accent 6"/>
    <w:basedOn w:val="763"/>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852">
    <w:name w:val="List Table 1 Light"/>
    <w:basedOn w:val="763"/>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53" w:customStyle="1">
    <w:name w:val="List Table 1 Light - Accent 1"/>
    <w:basedOn w:val="763"/>
    <w:uiPriority w:val="99"/>
    <w:pPr>
      <w:spacing w:after="0" w:line="240" w:lineRule="auto"/>
    </w:pPr>
    <w:tblPr>
      <w:tblStyleRowBandSize w:val="1"/>
      <w:tblStyleColBandSize w:val="1"/>
    </w:tblPr>
    <w:tblStylePr w:type="band1Horz">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854" w:customStyle="1">
    <w:name w:val="List Table 1 Light - Accent 2"/>
    <w:basedOn w:val="763"/>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855" w:customStyle="1">
    <w:name w:val="List Table 1 Light - Accent 3"/>
    <w:basedOn w:val="763"/>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856" w:customStyle="1">
    <w:name w:val="List Table 1 Light - Accent 4"/>
    <w:basedOn w:val="763"/>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857" w:customStyle="1">
    <w:name w:val="List Table 1 Light - Accent 5"/>
    <w:basedOn w:val="763"/>
    <w:uiPriority w:val="99"/>
    <w:pPr>
      <w:spacing w:after="0" w:line="240" w:lineRule="auto"/>
    </w:pPr>
    <w:tblPr>
      <w:tblStyleRowBandSize w:val="1"/>
      <w:tblStyleColBandSize w:val="1"/>
    </w:tblPr>
    <w:tblStylePr w:type="band1Horz">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858" w:customStyle="1">
    <w:name w:val="List Table 1 Light - Accent 6"/>
    <w:basedOn w:val="763"/>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859">
    <w:name w:val="List Table 2"/>
    <w:basedOn w:val="763"/>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60" w:customStyle="1">
    <w:name w:val="List Table 2 - Accent 1"/>
    <w:basedOn w:val="763"/>
    <w:uiPriority w:val="99"/>
    <w:pPr>
      <w:spacing w:after="0" w:line="240" w:lineRule="auto"/>
    </w:pPr>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style>
  <w:style w:type="table" w:styleId="861" w:customStyle="1">
    <w:name w:val="List Table 2 - Accent 2"/>
    <w:basedOn w:val="763"/>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862" w:customStyle="1">
    <w:name w:val="List Table 2 - Accent 3"/>
    <w:basedOn w:val="763"/>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863" w:customStyle="1">
    <w:name w:val="List Table 2 - Accent 4"/>
    <w:basedOn w:val="763"/>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864" w:customStyle="1">
    <w:name w:val="List Table 2 - Accent 5"/>
    <w:basedOn w:val="763"/>
    <w:uiPriority w:val="99"/>
    <w:pPr>
      <w:spacing w:after="0" w:line="240" w:lineRule="auto"/>
    </w:pPr>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style>
  <w:style w:type="table" w:styleId="865" w:customStyle="1">
    <w:name w:val="List Table 2 - Accent 6"/>
    <w:basedOn w:val="763"/>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866">
    <w:name w:val="List Table 3"/>
    <w:basedOn w:val="763"/>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67" w:customStyle="1">
    <w:name w:val="List Table 3 - Accent 1"/>
    <w:basedOn w:val="763"/>
    <w:uiPriority w:val="99"/>
    <w:pPr>
      <w:spacing w:after="0" w:line="240" w:lineRule="auto"/>
    </w:pPr>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868" w:customStyle="1">
    <w:name w:val="List Table 3 - Accent 2"/>
    <w:basedOn w:val="763"/>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869" w:customStyle="1">
    <w:name w:val="List Table 3 - Accent 3"/>
    <w:basedOn w:val="763"/>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870" w:customStyle="1">
    <w:name w:val="List Table 3 - Accent 4"/>
    <w:basedOn w:val="763"/>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871" w:customStyle="1">
    <w:name w:val="List Table 3 - Accent 5"/>
    <w:basedOn w:val="763"/>
    <w:uiPriority w:val="99"/>
    <w:pPr>
      <w:spacing w:after="0" w:line="240" w:lineRule="auto"/>
    </w:pPr>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rFonts w:ascii="Arial" w:hAnsi="Arial"/>
        <w:color w:val="404040"/>
        <w:sz w:val="22"/>
      </w:r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tcPr>
        <w:tcBorders>
          <w:left w:val="single" w:color="8DA9DB" w:themeColor="accent5" w:themeTint="9A" w:sz="4" w:space="0"/>
          <w:right w:val="single" w:color="8DA9DB" w:themeColor="accent5" w:themeTint="9A" w:sz="4" w:space="0"/>
        </w:tcBorders>
      </w:tcPr>
    </w:tblStylePr>
    <w:tblStylePr w:type="firstCol">
      <w:rPr>
        <w:b/>
        <w:color w:val="404040"/>
      </w:rPr>
    </w:tblStylePr>
    <w:tblStylePr w:type="firstRow">
      <w:rPr>
        <w:rFonts w:ascii="Arial" w:hAnsi="Arial"/>
        <w:b/>
        <w:color w:val="ffffff"/>
        <w:sz w:val="22"/>
      </w:rPr>
      <w:tcPr>
        <w:shd w:val="clear" w:color="8da9db" w:themeColor="accent5" w:themeTint="9A" w:fill="8da9db" w:themeFill="accent5" w:themeFillTint="9A"/>
      </w:tcPr>
    </w:tblStylePr>
    <w:tblStylePr w:type="lastCol">
      <w:rPr>
        <w:b/>
        <w:color w:val="404040"/>
      </w:rPr>
    </w:tblStylePr>
    <w:tblStylePr w:type="lastRow">
      <w:rPr>
        <w:b/>
        <w:color w:val="404040"/>
      </w:rPr>
    </w:tblStylePr>
  </w:style>
  <w:style w:type="table" w:styleId="872" w:customStyle="1">
    <w:name w:val="List Table 3 - Accent 6"/>
    <w:basedOn w:val="763"/>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873">
    <w:name w:val="List Table 4"/>
    <w:basedOn w:val="763"/>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74" w:customStyle="1">
    <w:name w:val="List Table 4 - Accent 1"/>
    <w:basedOn w:val="763"/>
    <w:uiPriority w:val="99"/>
    <w:pPr>
      <w:spacing w:after="0" w:line="240" w:lineRule="auto"/>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875" w:customStyle="1">
    <w:name w:val="List Table 4 - Accent 2"/>
    <w:basedOn w:val="763"/>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876" w:customStyle="1">
    <w:name w:val="List Table 4 - Accent 3"/>
    <w:basedOn w:val="763"/>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877" w:customStyle="1">
    <w:name w:val="List Table 4 - Accent 4"/>
    <w:basedOn w:val="763"/>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878" w:customStyle="1">
    <w:name w:val="List Table 4 - Accent 5"/>
    <w:basedOn w:val="763"/>
    <w:uiPriority w:val="99"/>
    <w:pPr>
      <w:spacing w:after="0" w:line="240" w:lineRule="auto"/>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b/>
        <w:color w:val="404040"/>
      </w:rPr>
    </w:tblStylePr>
    <w:tblStylePr w:type="firstRow">
      <w:rPr>
        <w:rFonts w:ascii="Arial" w:hAnsi="Arial"/>
        <w:b/>
        <w:color w:val="ffffff"/>
        <w:sz w:val="22"/>
      </w:rPr>
      <w:tcPr>
        <w:shd w:val="clear" w:color="4472c4" w:themeColor="accent5" w:fill="4472c4" w:themeFill="accent5"/>
      </w:tcPr>
    </w:tblStylePr>
    <w:tblStylePr w:type="lastCol">
      <w:rPr>
        <w:b/>
        <w:color w:val="404040"/>
      </w:rPr>
    </w:tblStylePr>
    <w:tblStylePr w:type="lastRow">
      <w:rPr>
        <w:b/>
        <w:color w:val="404040"/>
      </w:rPr>
    </w:tblStylePr>
  </w:style>
  <w:style w:type="table" w:styleId="879" w:customStyle="1">
    <w:name w:val="List Table 4 - Accent 6"/>
    <w:basedOn w:val="763"/>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880">
    <w:name w:val="List Table 5 Dark"/>
    <w:basedOn w:val="763"/>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81" w:customStyle="1">
    <w:name w:val="List Table 5 Dark - Accent 1"/>
    <w:basedOn w:val="763"/>
    <w:uiPriority w:val="99"/>
    <w:pPr>
      <w:spacing w:after="0" w:line="240" w:lineRule="auto"/>
    </w:pPr>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blStylePr w:type="band1Horz">
      <w:tcPr>
        <w:shd w:val="clear" w:color="5b9bd5" w:themeColor="accent1" w:fill="5b9bd5" w:themeFill="accent1"/>
        <w:tcBorders>
          <w:top w:val="single" w:color="FFFFFF" w:themeColor="light1" w:sz="4" w:space="0"/>
          <w:bottom w:val="single" w:color="FFFFFF" w:themeColor="light1" w:sz="4" w:space="0"/>
        </w:tcBorders>
      </w:tcPr>
    </w:tblStylePr>
    <w:tblStylePr w:type="band1Vert">
      <w:tcPr>
        <w:shd w:val="clear" w:color="5b9bd5" w:themeColor="accent1" w:fill="5b9bd5" w:themeFill="accent1"/>
        <w:tcBorders>
          <w:left w:val="single" w:color="FFFFFF" w:themeColor="light1" w:sz="4" w:space="0"/>
          <w:right w:val="single" w:color="FFFFFF" w:themeColor="light1" w:sz="4" w:space="0"/>
        </w:tcBorders>
      </w:tcPr>
    </w:tblStylePr>
    <w:tblStylePr w:type="band2Horz">
      <w:tcPr>
        <w:shd w:val="clear" w:color="5b9bd5" w:themeColor="accent1" w:fill="5b9bd5"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tcPr>
        <w:shd w:val="clear" w:color="5b9bd5" w:themeColor="accent1" w:fill="5b9bd5" w:themeFill="accent1"/>
        <w:tcBorders>
          <w:top w:val="single" w:color="5B9BD5" w:themeColor="accent1" w:sz="32" w:space="0"/>
          <w:bottom w:val="single" w:color="FFFFFF" w:themeColor="light1" w:sz="12" w:space="0"/>
        </w:tcBorders>
      </w:tcPr>
    </w:tblStylePr>
    <w:tblStylePr w:type="lastCol">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tblStylePr>
  </w:style>
  <w:style w:type="table" w:styleId="882" w:customStyle="1">
    <w:name w:val="List Table 5 Dark - Accent 2"/>
    <w:basedOn w:val="763"/>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883" w:customStyle="1">
    <w:name w:val="List Table 5 Dark - Accent 3"/>
    <w:basedOn w:val="763"/>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884" w:customStyle="1">
    <w:name w:val="List Table 5 Dark - Accent 4"/>
    <w:basedOn w:val="763"/>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885" w:customStyle="1">
    <w:name w:val="List Table 5 Dark - Accent 5"/>
    <w:basedOn w:val="763"/>
    <w:uiPriority w:val="99"/>
    <w:pPr>
      <w:spacing w:after="0" w:line="240" w:lineRule="auto"/>
    </w:pPr>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blStylePr w:type="band1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tblStylePr>
  </w:style>
  <w:style w:type="table" w:styleId="886" w:customStyle="1">
    <w:name w:val="List Table 5 Dark - Accent 6"/>
    <w:basedOn w:val="763"/>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887">
    <w:name w:val="List Table 6 Colorful"/>
    <w:basedOn w:val="763"/>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88" w:customStyle="1">
    <w:name w:val="List Table 6 Colorful - Accent 1"/>
    <w:basedOn w:val="763"/>
    <w:uiPriority w:val="99"/>
    <w:pPr>
      <w:spacing w:after="0" w:line="240" w:lineRule="auto"/>
    </w:pPr>
    <w:tblPr>
      <w:tblStyleRowBandSize w:val="1"/>
      <w:tblStyleColBandSize w:val="1"/>
      <w:tblBorders>
        <w:top w:val="single" w:color="5B9BD5" w:themeColor="accent1" w:sz="4" w:space="0"/>
        <w:bottom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889" w:customStyle="1">
    <w:name w:val="List Table 6 Colorful - Accent 2"/>
    <w:basedOn w:val="763"/>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890" w:customStyle="1">
    <w:name w:val="List Table 6 Colorful - Accent 3"/>
    <w:basedOn w:val="763"/>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891" w:customStyle="1">
    <w:name w:val="List Table 6 Colorful - Accent 4"/>
    <w:basedOn w:val="763"/>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892" w:customStyle="1">
    <w:name w:val="List Table 6 Colorful - Accent 5"/>
    <w:basedOn w:val="763"/>
    <w:uiPriority w:val="99"/>
    <w:pPr>
      <w:spacing w:after="0" w:line="240" w:lineRule="auto"/>
    </w:pPr>
    <w:tblPr>
      <w:tblStyleRowBandSize w:val="1"/>
      <w:tblStyleColBandSize w:val="1"/>
      <w:tblBorders>
        <w:top w:val="single" w:color="8DA9DB" w:themeColor="accent5" w:themeTint="9A" w:sz="4" w:space="0"/>
        <w:bottom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themeTint="9A"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themeTint="9A" w:sz="4" w:space="0"/>
        </w:tcBorders>
      </w:tcPr>
    </w:tblStylePr>
  </w:style>
  <w:style w:type="table" w:styleId="893" w:customStyle="1">
    <w:name w:val="List Table 6 Colorful - Accent 6"/>
    <w:basedOn w:val="763"/>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894">
    <w:name w:val="List Table 7 Colorful"/>
    <w:basedOn w:val="763"/>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95" w:customStyle="1">
    <w:name w:val="List Table 7 Colorful - Accent 1"/>
    <w:basedOn w:val="763"/>
    <w:uiPriority w:val="99"/>
    <w:pPr>
      <w:spacing w:after="0" w:line="240" w:lineRule="auto"/>
    </w:pPr>
    <w:tblPr>
      <w:tblStyleRowBandSize w:val="1"/>
      <w:tblStyleColBandSize w:val="1"/>
      <w:tblBorders>
        <w:right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rFonts w:ascii="Arial" w:hAnsi="Arial"/>
        <w:i/>
        <w:color w:val="245a8d" w:themeColor="accent1" w:themeShade="95"/>
        <w:sz w:val="22"/>
      </w:rPr>
      <w:pPr>
        <w:jc w:val="right"/>
      </w:pPr>
      <w:tcPr>
        <w:shd w:val="clear" w:color="ffffff" w:fill="auto"/>
        <w:tcBorders>
          <w:top w:val="none" w:color="000000" w:sz="4" w:space="0"/>
          <w:left w:val="none" w:color="000000" w:sz="4" w:space="0"/>
          <w:bottom w:val="none" w:color="000000" w:sz="4" w:space="0"/>
          <w:right w:val="single" w:color="5B9BD5" w:themeColor="accent1" w:sz="4" w:space="0"/>
        </w:tcBorders>
      </w:tcPr>
    </w:tblStylePr>
    <w:tblStylePr w:type="firstRow">
      <w:rPr>
        <w:rFonts w:ascii="Arial" w:hAnsi="Arial"/>
        <w:i/>
        <w:color w:val="245a8d" w:themeColor="accent1" w:themeShade="95"/>
        <w:sz w:val="22"/>
      </w:rPr>
      <w:tcPr>
        <w:shd w:val="clear" w:color="ffffff" w:themeColor="light1" w:fill="ffffff" w:themeFill="light1"/>
        <w:tcBorders>
          <w:top w:val="none" w:color="000000" w:sz="4" w:space="0"/>
          <w:left w:val="none" w:color="000000" w:sz="4" w:space="0"/>
          <w:bottom w:val="single" w:color="5B9BD5" w:themeColor="accent1" w:sz="4" w:space="0"/>
          <w:right w:val="none" w:color="000000" w:sz="4" w:space="0"/>
        </w:tcBorders>
      </w:tcPr>
    </w:tblStylePr>
    <w:tblStylePr w:type="lastCol">
      <w:rPr>
        <w:rFonts w:ascii="Arial" w:hAnsi="Arial"/>
        <w:i/>
        <w:color w:val="245a8d" w:themeColor="accent1" w:themeShade="95"/>
        <w:sz w:val="22"/>
      </w:rPr>
      <w:tcPr>
        <w:shd w:val="clear" w:color="ffffff" w:fill="auto"/>
        <w:tcBorders>
          <w:top w:val="none" w:color="000000" w:sz="4" w:space="0"/>
          <w:left w:val="single" w:color="5B9BD5" w:themeColor="accent1" w:sz="4" w:space="0"/>
          <w:bottom w:val="none" w:color="000000" w:sz="4" w:space="0"/>
          <w:right w:val="none" w:color="000000" w:sz="4" w:space="0"/>
        </w:tcBorders>
      </w:tcPr>
    </w:tblStylePr>
    <w:tblStylePr w:type="lastRow">
      <w:rPr>
        <w:rFonts w:ascii="Arial" w:hAnsi="Arial"/>
        <w:i/>
        <w:color w:val="245a8d" w:themeColor="accent1" w:themeShade="95"/>
        <w:sz w:val="22"/>
      </w:rPr>
      <w:tcPr>
        <w:shd w:val="clear" w:color="ffffff" w:themeColor="light1" w:fill="ffffff" w:themeFill="light1"/>
        <w:tcBorders>
          <w:top w:val="single" w:color="5B9BD5" w:themeColor="accent1" w:sz="4" w:space="0"/>
          <w:left w:val="none" w:color="000000" w:sz="4" w:space="0"/>
          <w:bottom w:val="none" w:color="000000" w:sz="4" w:space="0"/>
          <w:right w:val="none" w:color="000000" w:sz="4" w:space="0"/>
        </w:tcBorders>
      </w:tcPr>
    </w:tblStylePr>
  </w:style>
  <w:style w:type="table" w:styleId="896" w:customStyle="1">
    <w:name w:val="List Table 7 Colorful - Accent 2"/>
    <w:basedOn w:val="763"/>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897" w:customStyle="1">
    <w:name w:val="List Table 7 Colorful - Accent 3"/>
    <w:basedOn w:val="763"/>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898" w:customStyle="1">
    <w:name w:val="List Table 7 Colorful - Accent 4"/>
    <w:basedOn w:val="763"/>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899" w:customStyle="1">
    <w:name w:val="List Table 7 Colorful - Accent 5"/>
    <w:basedOn w:val="763"/>
    <w:uiPriority w:val="99"/>
    <w:pPr>
      <w:spacing w:after="0" w:line="240" w:lineRule="auto"/>
    </w:pPr>
    <w:tblPr>
      <w:tblStyleRowBandSize w:val="1"/>
      <w:tblStyleColBandSize w:val="1"/>
      <w:tblBorders>
        <w:right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rFonts w:ascii="Arial" w:hAnsi="Arial"/>
        <w:i/>
        <w:color w:val="8da9db"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8DA9DB" w:themeColor="accent5" w:themeTint="9A" w:sz="4" w:space="0"/>
        </w:tcBorders>
      </w:tcPr>
    </w:tblStylePr>
    <w:tblStylePr w:type="firstRow">
      <w:rPr>
        <w:rFonts w:ascii="Arial" w:hAnsi="Arial"/>
        <w:i/>
        <w:color w:val="8da9db" w:themeColor="accent5" w:themeTint="9A" w:themeShade="95"/>
        <w:sz w:val="22"/>
      </w:rPr>
      <w:tcPr>
        <w:shd w:val="clear" w:color="ffffff" w:themeColor="light1" w:fill="ffffff" w:themeFill="light1"/>
        <w:tcBorders>
          <w:top w:val="none" w:color="000000" w:sz="4" w:space="0"/>
          <w:left w:val="none" w:color="000000" w:sz="4" w:space="0"/>
          <w:bottom w:val="single" w:color="8DA9DB" w:themeColor="accent5" w:themeTint="9A" w:sz="4" w:space="0"/>
          <w:right w:val="none" w:color="000000" w:sz="4" w:space="0"/>
        </w:tcBorders>
      </w:tcPr>
    </w:tblStylePr>
    <w:tblStylePr w:type="lastCol">
      <w:rPr>
        <w:rFonts w:ascii="Arial" w:hAnsi="Arial"/>
        <w:i/>
        <w:color w:val="8da9db" w:themeColor="accent5" w:themeTint="9A" w:themeShade="95"/>
        <w:sz w:val="22"/>
      </w:rPr>
      <w:tcPr>
        <w:shd w:val="clear" w:color="ffffff" w:fill="auto"/>
        <w:tcBorders>
          <w:top w:val="none" w:color="000000" w:sz="4" w:space="0"/>
          <w:left w:val="single" w:color="8DA9DB" w:themeColor="accent5" w:themeTint="9A" w:sz="4" w:space="0"/>
          <w:bottom w:val="none" w:color="000000" w:sz="4" w:space="0"/>
          <w:right w:val="none" w:color="000000" w:sz="4" w:space="0"/>
        </w:tcBorders>
      </w:tcPr>
    </w:tblStylePr>
    <w:tblStylePr w:type="lastRow">
      <w:rPr>
        <w:rFonts w:ascii="Arial" w:hAnsi="Arial"/>
        <w:i/>
        <w:color w:val="8da9db" w:themeColor="accent5" w:themeTint="9A" w:themeShade="95"/>
        <w:sz w:val="22"/>
      </w:rPr>
      <w:tcPr>
        <w:shd w:val="clear" w:color="ffffff" w:themeColor="light1" w:fill="ffffff" w:themeFill="light1"/>
        <w:tcBorders>
          <w:top w:val="single" w:color="8DA9DB" w:themeColor="accent5" w:themeTint="9A" w:sz="4" w:space="0"/>
          <w:left w:val="none" w:color="000000" w:sz="4" w:space="0"/>
          <w:bottom w:val="none" w:color="000000" w:sz="4" w:space="0"/>
          <w:right w:val="none" w:color="000000" w:sz="4" w:space="0"/>
        </w:tcBorders>
      </w:tcPr>
    </w:tblStylePr>
  </w:style>
  <w:style w:type="table" w:styleId="900" w:customStyle="1">
    <w:name w:val="List Table 7 Colorful - Accent 6"/>
    <w:basedOn w:val="763"/>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901" w:customStyle="1">
    <w:name w:val="Lined - Accent"/>
    <w:basedOn w:val="763"/>
    <w:uiPriority w:val="99"/>
    <w:pPr>
      <w:spacing w:after="0" w:line="240" w:lineRule="auto"/>
    </w:pPr>
    <w:rPr>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02" w:customStyle="1">
    <w:name w:val="Lined - Accent 1"/>
    <w:basedOn w:val="763"/>
    <w:uiPriority w:val="99"/>
    <w:pPr>
      <w:spacing w:after="0" w:line="240" w:lineRule="auto"/>
    </w:pPr>
    <w:rPr>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903" w:customStyle="1">
    <w:name w:val="Lined - Accent 2"/>
    <w:basedOn w:val="763"/>
    <w:uiPriority w:val="99"/>
    <w:pPr>
      <w:spacing w:after="0" w:line="240" w:lineRule="auto"/>
    </w:pPr>
    <w:rPr>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04" w:customStyle="1">
    <w:name w:val="Lined - Accent 3"/>
    <w:basedOn w:val="763"/>
    <w:uiPriority w:val="99"/>
    <w:pPr>
      <w:spacing w:after="0" w:line="240" w:lineRule="auto"/>
    </w:pPr>
    <w:rPr>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05" w:customStyle="1">
    <w:name w:val="Lined - Accent 4"/>
    <w:basedOn w:val="763"/>
    <w:uiPriority w:val="99"/>
    <w:pPr>
      <w:spacing w:after="0" w:line="240" w:lineRule="auto"/>
    </w:pPr>
    <w:rPr>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06" w:customStyle="1">
    <w:name w:val="Lined - Accent 5"/>
    <w:basedOn w:val="763"/>
    <w:uiPriority w:val="99"/>
    <w:pPr>
      <w:spacing w:after="0" w:line="240" w:lineRule="auto"/>
    </w:pPr>
    <w:rPr>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907" w:customStyle="1">
    <w:name w:val="Lined - Accent 6"/>
    <w:basedOn w:val="763"/>
    <w:uiPriority w:val="99"/>
    <w:pPr>
      <w:spacing w:after="0" w:line="240" w:lineRule="auto"/>
    </w:pPr>
    <w:rPr>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08" w:customStyle="1">
    <w:name w:val="Bordered &amp; Lined - Accent"/>
    <w:basedOn w:val="763"/>
    <w:uiPriority w:val="99"/>
    <w:pPr>
      <w:spacing w:after="0" w:line="240" w:lineRule="auto"/>
    </w:pPr>
    <w:rPr>
      <w:color w:val="404040"/>
      <w:sz w:val="20"/>
      <w:szCs w:val="20"/>
      <w:lang w:eastAsia="fr-F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09" w:customStyle="1">
    <w:name w:val="Bordered &amp; Lined - Accent 1"/>
    <w:basedOn w:val="763"/>
    <w:uiPriority w:val="99"/>
    <w:pPr>
      <w:spacing w:after="0" w:line="240" w:lineRule="auto"/>
    </w:pPr>
    <w:rPr>
      <w:color w:val="404040"/>
      <w:sz w:val="20"/>
      <w:szCs w:val="20"/>
      <w:lang w:eastAsia="fr-FR"/>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910" w:customStyle="1">
    <w:name w:val="Bordered &amp; Lined - Accent 2"/>
    <w:basedOn w:val="763"/>
    <w:uiPriority w:val="99"/>
    <w:pPr>
      <w:spacing w:after="0" w:line="240" w:lineRule="auto"/>
    </w:pPr>
    <w:rPr>
      <w:color w:val="404040"/>
      <w:sz w:val="20"/>
      <w:szCs w:val="20"/>
      <w:lang w:eastAsia="fr-F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11" w:customStyle="1">
    <w:name w:val="Bordered &amp; Lined - Accent 3"/>
    <w:basedOn w:val="763"/>
    <w:uiPriority w:val="99"/>
    <w:pPr>
      <w:spacing w:after="0" w:line="240" w:lineRule="auto"/>
    </w:pPr>
    <w:rPr>
      <w:color w:val="404040"/>
      <w:sz w:val="20"/>
      <w:szCs w:val="20"/>
      <w:lang w:eastAsia="fr-F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12" w:customStyle="1">
    <w:name w:val="Bordered &amp; Lined - Accent 4"/>
    <w:basedOn w:val="763"/>
    <w:uiPriority w:val="99"/>
    <w:pPr>
      <w:spacing w:after="0" w:line="240" w:lineRule="auto"/>
    </w:pPr>
    <w:rPr>
      <w:color w:val="404040"/>
      <w:sz w:val="20"/>
      <w:szCs w:val="20"/>
      <w:lang w:eastAsia="fr-F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13" w:customStyle="1">
    <w:name w:val="Bordered &amp; Lined - Accent 5"/>
    <w:basedOn w:val="763"/>
    <w:uiPriority w:val="99"/>
    <w:pPr>
      <w:spacing w:after="0" w:line="240" w:lineRule="auto"/>
    </w:pPr>
    <w:rPr>
      <w:color w:val="404040"/>
      <w:sz w:val="20"/>
      <w:szCs w:val="20"/>
      <w:lang w:eastAsia="fr-FR"/>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914" w:customStyle="1">
    <w:name w:val="Bordered &amp; Lined - Accent 6"/>
    <w:basedOn w:val="763"/>
    <w:uiPriority w:val="99"/>
    <w:pPr>
      <w:spacing w:after="0" w:line="240" w:lineRule="auto"/>
    </w:pPr>
    <w:rPr>
      <w:color w:val="404040"/>
      <w:sz w:val="20"/>
      <w:szCs w:val="20"/>
      <w:lang w:eastAsia="fr-F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15" w:customStyle="1">
    <w:name w:val="Bordered"/>
    <w:basedOn w:val="763"/>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16" w:customStyle="1">
    <w:name w:val="Bordered - Accent 1"/>
    <w:basedOn w:val="763"/>
    <w:uiPriority w:val="99"/>
    <w:pPr>
      <w:spacing w:after="0" w:line="240" w:lineRule="auto"/>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5B9BD5" w:themeColor="accent1" w:sz="12" w:space="0"/>
        </w:tcBorders>
      </w:tcPr>
    </w:tblStylePr>
    <w:tblStylePr w:type="lastCol">
      <w:rPr>
        <w:rFonts w:ascii="Arial" w:hAnsi="Arial"/>
        <w:color w:val="404040"/>
        <w:sz w:val="22"/>
      </w:rPr>
      <w:tcPr>
        <w:tcBorders>
          <w:left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style>
  <w:style w:type="table" w:styleId="917" w:customStyle="1">
    <w:name w:val="Bordered - Accent 2"/>
    <w:basedOn w:val="763"/>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918" w:customStyle="1">
    <w:name w:val="Bordered - Accent 3"/>
    <w:basedOn w:val="763"/>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919" w:customStyle="1">
    <w:name w:val="Bordered - Accent 4"/>
    <w:basedOn w:val="763"/>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920" w:customStyle="1">
    <w:name w:val="Bordered - Accent 5"/>
    <w:basedOn w:val="763"/>
    <w:uiPriority w:val="99"/>
    <w:pPr>
      <w:spacing w:after="0" w:line="240" w:lineRule="auto"/>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8DA9DB" w:themeColor="accent5" w:themeTint="9A" w:sz="12" w:space="0"/>
        </w:tcBorders>
      </w:tcPr>
    </w:tblStylePr>
    <w:tblStylePr w:type="lastCol">
      <w:rPr>
        <w:rFonts w:ascii="Arial" w:hAnsi="Arial"/>
        <w:color w:val="404040"/>
        <w:sz w:val="22"/>
      </w:rPr>
      <w:tcPr>
        <w:tcBorders>
          <w:left w:val="single" w:color="8DA9DB" w:themeColor="accent5" w:themeTint="9A" w:sz="12" w:space="0"/>
        </w:tcBorders>
      </w:tcPr>
    </w:tblStylePr>
    <w:tblStylePr w:type="lastRow">
      <w:rPr>
        <w:rFonts w:ascii="Arial" w:hAnsi="Arial"/>
        <w:color w:val="404040"/>
        <w:sz w:val="22"/>
      </w:rPr>
      <w:tcPr>
        <w:tcBorders>
          <w:top w:val="single" w:color="8DA9DB" w:themeColor="accent5" w:themeTint="9A" w:sz="12" w:space="0"/>
        </w:tcBorders>
      </w:tcPr>
    </w:tblStylePr>
  </w:style>
  <w:style w:type="table" w:styleId="921" w:customStyle="1">
    <w:name w:val="Bordered - Accent 6"/>
    <w:basedOn w:val="763"/>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922">
    <w:name w:val="footnote text"/>
    <w:basedOn w:val="752"/>
    <w:link w:val="923"/>
    <w:uiPriority w:val="99"/>
    <w:semiHidden/>
    <w:unhideWhenUsed/>
    <w:pPr>
      <w:spacing w:after="40" w:line="240" w:lineRule="auto"/>
    </w:pPr>
    <w:rPr>
      <w:sz w:val="18"/>
    </w:rPr>
  </w:style>
  <w:style w:type="character" w:styleId="923" w:customStyle="1">
    <w:name w:val="Note de bas de page Car"/>
    <w:link w:val="922"/>
    <w:uiPriority w:val="99"/>
    <w:rPr>
      <w:sz w:val="18"/>
    </w:rPr>
  </w:style>
  <w:style w:type="character" w:styleId="924">
    <w:name w:val="footnote reference"/>
    <w:basedOn w:val="762"/>
    <w:uiPriority w:val="99"/>
    <w:unhideWhenUsed/>
    <w:rPr>
      <w:vertAlign w:val="superscript"/>
    </w:rPr>
  </w:style>
  <w:style w:type="paragraph" w:styleId="925">
    <w:name w:val="endnote text"/>
    <w:basedOn w:val="752"/>
    <w:link w:val="926"/>
    <w:uiPriority w:val="99"/>
    <w:semiHidden/>
    <w:unhideWhenUsed/>
    <w:pPr>
      <w:spacing w:after="0" w:line="240" w:lineRule="auto"/>
    </w:pPr>
    <w:rPr>
      <w:sz w:val="20"/>
    </w:rPr>
  </w:style>
  <w:style w:type="character" w:styleId="926" w:customStyle="1">
    <w:name w:val="Note de fin Car"/>
    <w:link w:val="925"/>
    <w:uiPriority w:val="99"/>
    <w:rPr>
      <w:sz w:val="20"/>
    </w:rPr>
  </w:style>
  <w:style w:type="character" w:styleId="927">
    <w:name w:val="endnote reference"/>
    <w:basedOn w:val="762"/>
    <w:uiPriority w:val="99"/>
    <w:semiHidden/>
    <w:unhideWhenUsed/>
    <w:rPr>
      <w:vertAlign w:val="superscript"/>
    </w:rPr>
  </w:style>
  <w:style w:type="paragraph" w:styleId="928">
    <w:name w:val="toc 1"/>
    <w:basedOn w:val="752"/>
    <w:next w:val="752"/>
    <w:uiPriority w:val="39"/>
    <w:unhideWhenUsed/>
    <w:pPr>
      <w:spacing w:after="57"/>
    </w:pPr>
  </w:style>
  <w:style w:type="paragraph" w:styleId="929">
    <w:name w:val="toc 2"/>
    <w:basedOn w:val="752"/>
    <w:next w:val="752"/>
    <w:uiPriority w:val="39"/>
    <w:unhideWhenUsed/>
    <w:pPr>
      <w:ind w:left="283"/>
      <w:spacing w:after="57"/>
    </w:pPr>
  </w:style>
  <w:style w:type="paragraph" w:styleId="930">
    <w:name w:val="toc 3"/>
    <w:basedOn w:val="752"/>
    <w:next w:val="752"/>
    <w:uiPriority w:val="39"/>
    <w:unhideWhenUsed/>
    <w:pPr>
      <w:ind w:left="567"/>
      <w:spacing w:after="57"/>
    </w:pPr>
  </w:style>
  <w:style w:type="paragraph" w:styleId="931">
    <w:name w:val="toc 4"/>
    <w:basedOn w:val="752"/>
    <w:next w:val="752"/>
    <w:uiPriority w:val="39"/>
    <w:unhideWhenUsed/>
    <w:pPr>
      <w:ind w:left="850"/>
      <w:spacing w:after="57"/>
    </w:pPr>
  </w:style>
  <w:style w:type="paragraph" w:styleId="932">
    <w:name w:val="toc 5"/>
    <w:basedOn w:val="752"/>
    <w:next w:val="752"/>
    <w:uiPriority w:val="39"/>
    <w:unhideWhenUsed/>
    <w:pPr>
      <w:ind w:left="1134"/>
      <w:spacing w:after="57"/>
    </w:pPr>
  </w:style>
  <w:style w:type="paragraph" w:styleId="933">
    <w:name w:val="toc 6"/>
    <w:basedOn w:val="752"/>
    <w:next w:val="752"/>
    <w:uiPriority w:val="39"/>
    <w:unhideWhenUsed/>
    <w:pPr>
      <w:ind w:left="1417"/>
      <w:spacing w:after="57"/>
    </w:pPr>
  </w:style>
  <w:style w:type="paragraph" w:styleId="934">
    <w:name w:val="toc 7"/>
    <w:basedOn w:val="752"/>
    <w:next w:val="752"/>
    <w:uiPriority w:val="39"/>
    <w:unhideWhenUsed/>
    <w:pPr>
      <w:ind w:left="1701"/>
      <w:spacing w:after="57"/>
    </w:pPr>
  </w:style>
  <w:style w:type="paragraph" w:styleId="935">
    <w:name w:val="toc 8"/>
    <w:basedOn w:val="752"/>
    <w:next w:val="752"/>
    <w:uiPriority w:val="39"/>
    <w:unhideWhenUsed/>
    <w:pPr>
      <w:ind w:left="1984"/>
      <w:spacing w:after="57"/>
    </w:pPr>
  </w:style>
  <w:style w:type="paragraph" w:styleId="936">
    <w:name w:val="toc 9"/>
    <w:basedOn w:val="752"/>
    <w:next w:val="752"/>
    <w:uiPriority w:val="39"/>
    <w:unhideWhenUsed/>
    <w:pPr>
      <w:ind w:left="2268"/>
      <w:spacing w:after="57"/>
    </w:pPr>
  </w:style>
  <w:style w:type="paragraph" w:styleId="937">
    <w:name w:val="TOC Heading"/>
    <w:uiPriority w:val="39"/>
    <w:unhideWhenUsed/>
  </w:style>
  <w:style w:type="paragraph" w:styleId="938">
    <w:name w:val="table of figures"/>
    <w:basedOn w:val="752"/>
    <w:next w:val="752"/>
    <w:uiPriority w:val="99"/>
    <w:unhideWhenUsed/>
    <w:pPr>
      <w:spacing w:after="0"/>
    </w:pPr>
  </w:style>
  <w:style w:type="character" w:styleId="939" w:customStyle="1">
    <w:name w:val="Titre 1 Car"/>
    <w:basedOn w:val="762"/>
    <w:link w:val="753"/>
    <w:uiPriority w:val="9"/>
    <w:rPr>
      <w:rFonts w:asciiTheme="majorHAnsi" w:hAnsiTheme="majorHAnsi" w:eastAsiaTheme="majorEastAsia" w:cstheme="majorBidi"/>
      <w:b/>
      <w:color w:val="2e74b5" w:themeColor="accent1" w:themeShade="BF"/>
      <w:sz w:val="28"/>
      <w:szCs w:val="32"/>
    </w:rPr>
  </w:style>
  <w:style w:type="paragraph" w:styleId="940">
    <w:name w:val="Title"/>
    <w:basedOn w:val="752"/>
    <w:next w:val="752"/>
    <w:link w:val="941"/>
    <w:uiPriority w:val="10"/>
    <w:qFormat/>
    <w:pPr>
      <w:contextualSpacing/>
      <w:jc w:val="center"/>
      <w:spacing w:after="120" w:line="240" w:lineRule="auto"/>
    </w:pPr>
    <w:rPr>
      <w:rFonts w:asciiTheme="majorHAnsi" w:hAnsiTheme="majorHAnsi" w:eastAsiaTheme="majorEastAsia" w:cstheme="majorBidi"/>
      <w:b/>
      <w:color w:val="2e74b5" w:themeColor="accent1" w:themeShade="BF"/>
      <w:spacing w:val="-10"/>
      <w:sz w:val="36"/>
      <w:szCs w:val="56"/>
    </w:rPr>
  </w:style>
  <w:style w:type="character" w:styleId="941" w:customStyle="1">
    <w:name w:val="Titre Car"/>
    <w:basedOn w:val="762"/>
    <w:link w:val="940"/>
    <w:uiPriority w:val="10"/>
    <w:rPr>
      <w:rFonts w:asciiTheme="majorHAnsi" w:hAnsiTheme="majorHAnsi" w:eastAsiaTheme="majorEastAsia" w:cstheme="majorBidi"/>
      <w:b/>
      <w:color w:val="2e74b5" w:themeColor="accent1" w:themeShade="BF"/>
      <w:spacing w:val="-10"/>
      <w:sz w:val="36"/>
      <w:szCs w:val="56"/>
    </w:rPr>
  </w:style>
  <w:style w:type="table" w:styleId="942">
    <w:name w:val="Table Grid"/>
    <w:basedOn w:val="763"/>
    <w:uiPriority w:val="59"/>
    <w:pPr>
      <w:spacing w:after="0" w:line="240" w:lineRule="auto"/>
    </w:pPr>
    <w:rPr>
      <w:rFonts w:ascii="Times New Roman" w:hAnsi="Times New Roman" w:eastAsia="Times New Roman" w:cs="Times New Roman"/>
      <w:sz w:val="20"/>
      <w:szCs w:val="20"/>
      <w:lang w:eastAsia="fr-F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43" w:customStyle="1">
    <w:name w:val="Titre 2 Car"/>
    <w:basedOn w:val="762"/>
    <w:link w:val="754"/>
    <w:uiPriority w:val="9"/>
    <w:rPr>
      <w:rFonts w:asciiTheme="majorHAnsi" w:hAnsiTheme="majorHAnsi" w:eastAsiaTheme="majorEastAsia" w:cstheme="majorBidi"/>
      <w:color w:val="2e74b5" w:themeColor="accent1" w:themeShade="BF"/>
      <w:sz w:val="26"/>
      <w:szCs w:val="26"/>
    </w:rPr>
  </w:style>
  <w:style w:type="paragraph" w:styleId="944">
    <w:name w:val="List Paragraph"/>
    <w:basedOn w:val="752"/>
    <w:uiPriority w:val="34"/>
    <w:qFormat/>
    <w:pPr>
      <w:contextualSpacing/>
      <w:ind w:left="720"/>
    </w:pPr>
  </w:style>
  <w:style w:type="paragraph" w:styleId="945">
    <w:name w:val="Balloon Text"/>
    <w:basedOn w:val="752"/>
    <w:link w:val="946"/>
    <w:uiPriority w:val="99"/>
    <w:semiHidden/>
    <w:unhideWhenUsed/>
    <w:pPr>
      <w:spacing w:after="0" w:line="240" w:lineRule="auto"/>
    </w:pPr>
    <w:rPr>
      <w:rFonts w:ascii="Segoe UI" w:hAnsi="Segoe UI" w:cs="Segoe UI"/>
      <w:sz w:val="18"/>
      <w:szCs w:val="18"/>
    </w:rPr>
  </w:style>
  <w:style w:type="character" w:styleId="946" w:customStyle="1">
    <w:name w:val="Texte de bulles Car"/>
    <w:basedOn w:val="762"/>
    <w:link w:val="945"/>
    <w:uiPriority w:val="99"/>
    <w:semiHidden/>
    <w:rPr>
      <w:rFonts w:ascii="Segoe UI" w:hAnsi="Segoe UI" w:cs="Segoe UI"/>
      <w:sz w:val="18"/>
      <w:szCs w:val="18"/>
    </w:rPr>
  </w:style>
  <w:style w:type="paragraph" w:styleId="947">
    <w:name w:val="Header"/>
    <w:basedOn w:val="752"/>
    <w:link w:val="948"/>
    <w:uiPriority w:val="99"/>
    <w:unhideWhenUsed/>
    <w:pPr>
      <w:spacing w:after="0" w:line="240" w:lineRule="auto"/>
      <w:tabs>
        <w:tab w:val="center" w:pos="4536" w:leader="none"/>
        <w:tab w:val="right" w:pos="9072" w:leader="none"/>
      </w:tabs>
    </w:pPr>
  </w:style>
  <w:style w:type="character" w:styleId="948" w:customStyle="1">
    <w:name w:val="En-tête Car"/>
    <w:basedOn w:val="762"/>
    <w:link w:val="947"/>
    <w:uiPriority w:val="99"/>
  </w:style>
  <w:style w:type="paragraph" w:styleId="949">
    <w:name w:val="Footer"/>
    <w:basedOn w:val="752"/>
    <w:link w:val="950"/>
    <w:uiPriority w:val="99"/>
    <w:unhideWhenUsed/>
    <w:pPr>
      <w:spacing w:after="0" w:line="240" w:lineRule="auto"/>
      <w:tabs>
        <w:tab w:val="center" w:pos="4536" w:leader="none"/>
        <w:tab w:val="right" w:pos="9072" w:leader="none"/>
      </w:tabs>
    </w:pPr>
  </w:style>
  <w:style w:type="character" w:styleId="950" w:customStyle="1">
    <w:name w:val="Pied de page Car"/>
    <w:basedOn w:val="762"/>
    <w:link w:val="949"/>
    <w:uiPriority w:val="99"/>
  </w:style>
  <w:style w:type="paragraph" w:styleId="951">
    <w:name w:val="Caption"/>
    <w:basedOn w:val="752"/>
    <w:next w:val="752"/>
    <w:uiPriority w:val="35"/>
    <w:unhideWhenUsed/>
    <w:qFormat/>
    <w:pPr>
      <w:spacing w:after="200" w:line="240" w:lineRule="auto"/>
    </w:pPr>
    <w:rPr>
      <w:i/>
      <w:iCs/>
      <w:color w:val="44546a" w:themeColor="text2"/>
      <w:sz w:val="18"/>
      <w:szCs w:val="18"/>
    </w:rPr>
  </w:style>
  <w:style w:type="character" w:styleId="952">
    <w:name w:val="Hyperlink"/>
    <w:basedOn w:val="762"/>
    <w:uiPriority w:val="99"/>
    <w:unhideWhenUsed/>
    <w:rPr>
      <w:color w:val="0563c1" w:themeColor="hyperlink"/>
      <w:u w:val="single"/>
    </w:rPr>
  </w:style>
  <w:style w:type="paragraph" w:styleId="953" w:customStyle="1">
    <w:name w:val="Default"/>
    <w:pPr>
      <w:spacing w:after="0" w:line="240" w:lineRule="auto"/>
    </w:pPr>
    <w:rPr>
      <w:rFonts w:ascii="Cambria" w:hAnsi="Cambria" w:cs="Cambria"/>
      <w:color w:val="000000"/>
      <w:sz w:val="24"/>
      <w:szCs w:val="24"/>
    </w:rPr>
  </w:style>
  <w:style w:type="character" w:styleId="954" w:customStyle="1">
    <w:name w:val="Unresolved Mention"/>
    <w:basedOn w:val="762"/>
    <w:uiPriority w:val="99"/>
    <w:semiHidden/>
    <w:unhideWhenUsed/>
    <w:rPr>
      <w:color w:val="605e5c"/>
      <w:shd w:val="clear" w:color="auto" w:fill="e1dfdd"/>
    </w:rPr>
  </w:style>
  <w:style w:type="paragraph" w:styleId="955">
    <w:name w:val="Normal (Web)"/>
    <w:basedOn w:val="752"/>
    <w:uiPriority w:val="99"/>
    <w:semiHidden/>
    <w:unhideWhenUsed/>
    <w:pPr>
      <w:spacing w:before="100" w:beforeAutospacing="1" w:after="100" w:afterAutospacing="1" w:line="240" w:lineRule="auto"/>
    </w:pPr>
    <w:rPr>
      <w:rFonts w:ascii="Times New Roman" w:hAnsi="Times New Roman" w:eastAsia="Times New Roman" w:cs="Times New Roman"/>
      <w:sz w:val="24"/>
      <w:szCs w:val="24"/>
      <w:lang w:eastAsia="fr-FR"/>
    </w:rPr>
  </w:style>
  <w:style w:type="table" w:styleId="956" w:customStyle="1">
    <w:name w:val="Grille du tableau1"/>
    <w:basedOn w:val="763"/>
    <w:next w:val="942"/>
    <w:uiPriority w:val="59"/>
    <w:pPr>
      <w:spacing w:after="0" w:line="240" w:lineRule="auto"/>
    </w:pPr>
    <w:rPr>
      <w:rFonts w:ascii="Times New Roman" w:hAnsi="Times New Roman" w:eastAsia="Times New Roman" w:cs="Times New Roman"/>
      <w:sz w:val="20"/>
      <w:szCs w:val="20"/>
      <w:lang w:eastAsia="fr-F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57" w:customStyle="1">
    <w:name w:val="Grille du tableau2"/>
    <w:basedOn w:val="763"/>
    <w:next w:val="942"/>
    <w:uiPriority w:val="59"/>
    <w:pPr>
      <w:spacing w:after="0" w:line="240" w:lineRule="auto"/>
    </w:pPr>
    <w:rPr>
      <w:rFonts w:ascii="Times New Roman" w:hAnsi="Times New Roman" w:eastAsia="Times New Roman" w:cs="Times New Roman"/>
      <w:sz w:val="20"/>
      <w:szCs w:val="20"/>
      <w:lang w:eastAsia="fr-F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58" w:customStyle="1">
    <w:name w:val="Grille du tableau3"/>
    <w:basedOn w:val="763"/>
    <w:next w:val="942"/>
    <w:uiPriority w:val="59"/>
    <w:pPr>
      <w:spacing w:after="0" w:line="240" w:lineRule="auto"/>
    </w:pPr>
    <w:rPr>
      <w:rFonts w:ascii="Times New Roman" w:hAnsi="Times New Roman" w:eastAsia="Times New Roman" w:cs="Times New Roman"/>
      <w:sz w:val="20"/>
      <w:szCs w:val="20"/>
      <w:lang w:eastAsia="fr-F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hyperlink" Target="https://www.gouvernement.fr/france-2030/appels-a-candidatures" TargetMode="External"/><Relationship Id="rId13" Type="http://schemas.openxmlformats.org/officeDocument/2006/relationships/hyperlink" Target="https://www.gouvernement.fr/france-2030/appels-a-candidatures" TargetMode="External"/><Relationship Id="rId14" Type="http://schemas.openxmlformats.org/officeDocument/2006/relationships/hyperlink" Target="https://agirpourlatransition.ademe.fr/entreprises/aides-financieres/20220613/solutions-innovantes-lamelioration-recyclabilite-recyclage?cible=80" TargetMode="External"/><Relationship Id="rId15" Type="http://schemas.openxmlformats.org/officeDocument/2006/relationships/hyperlink" Target="https://agirpourlatransition.ademe.fr/entreprises/aides-financieres/20211021/logistique2021-188" TargetMode="External"/><Relationship Id="rId16" Type="http://schemas.openxmlformats.org/officeDocument/2006/relationships/hyperlink" Target="https://www.ecologie.gouv.fr/mobilite-routiere-automatisee-et-connectee" TargetMode="External"/><Relationship Id="rId17" Type="http://schemas.openxmlformats.org/officeDocument/2006/relationships/hyperlink" Target="https://www.bpifrance.fr/nos-appels-a-projets-concours/appel-a-projets-mobilites-routieres-automatisees-infrastructures-de-services-connectees-et-bas-carbone" TargetMode="External"/><Relationship Id="rId18" Type="http://schemas.openxmlformats.org/officeDocument/2006/relationships/hyperlink" Target="https://www.bpifrance.fr/nos-appels-a-projets-concours/appel-a-projets-coram-2022" TargetMode="External"/><Relationship Id="rId19" Type="http://schemas.openxmlformats.org/officeDocument/2006/relationships/image" Target="media/image2.png"/><Relationship Id="rId20"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eco-act.com/fr/finance-durable/taxonomie-verte-europeenne/" TargetMode="External"/><Relationship Id="rId2" Type="http://schemas.openxmlformats.org/officeDocument/2006/relationships/hyperlink" Target="https://anr.fr/fr/detail/call/maturation-pre-maturation-appel-a-propositions/"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826D6-947B-495C-9BAE-B726E516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Frederic Bourquin</cp:lastModifiedBy>
  <cp:revision>13</cp:revision>
  <dcterms:created xsi:type="dcterms:W3CDTF">2023-04-25T09:33:00Z</dcterms:created>
  <dcterms:modified xsi:type="dcterms:W3CDTF">2023-05-02T07:59:16Z</dcterms:modified>
</cp:coreProperties>
</file>